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DBAbkG ARM</w:t>
      </w:r>
    </w:p>
    <w:p>
      <w:r>
        <w:rPr>
          <w:color w:val="555555"/>
          <w:sz w:val="18"/>
        </w:rPr>
        <w:t xml:space="preserve">Gesetz zu dem Abkommen vom 29. Juni 2016 zwischen der Bundesrepublik Deutschland und der Republik Armenien zur Vermeidung der Doppelbesteuerung und zur Verhinderung der Steuerverkürzung auf dem Gebiet der Steuern vom Einkommen und vom Vermögen</w:t>
      </w:r>
    </w:p>
    <w:p>
      <w:r>
        <w:rPr>
          <w:color w:val="555555"/>
          <w:sz w:val="18"/>
        </w:rPr>
        <w:t xml:space="preserve">Stand: 10.06.2019 (konsolidierte Textfassung, kein amtliches Inkrafttretensdatum)</w:t>
      </w:r>
    </w:p>
    <w:p>
      <w:r>
        <w:t xml:space="preserve">Das Bundesministerium der Finanzen wird ermächtigt, mit Zustimmung des Bundesrates Rechtsverordnungen zu erlassen, um die folgenden, im Abkommen vorgesehenen späteren Bestimmungen zu treffen über</w:t>
      </w:r>
    </w:p>
    <w:p>
      <w:pPr>
        <w:ind w:left="420"/>
      </w:pPr>
      <w:r>
        <w:t xml:space="preserve">1. den Zeitpunkt der Anwendung der Amtshilfe bei der Steuererhebung aufgrund einer Vereinbarung nach Artikel 31 Absatz 2 Buchstabe c des Abkommens und</w:t>
      </w:r>
    </w:p>
    <w:p>
      <w:pPr>
        <w:ind w:left="420"/>
      </w:pPr>
      <w:r>
        <w:t xml:space="preserve">2. im Alleineigentum der Regierung der Republik Armenien stehende Finanzinstitute, für die aufgrund einer Verständigung nach Nummer 6 des Protokolls zum Abkommen der Artikel 11 Absatz 3 des Abkommens Anwendung finden soll.</w:t>
      </w:r>
    </w:p>
    <w:p>
      <w:r>
        <w:rPr>
          <w:color w:val="555555"/>
          <w:sz w:val="17"/>
        </w:rPr>
        <w:t xml:space="preserve">Zitiervorschlag: Art 2 DBAbkG ARM</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https://recht.nulegal.eu/gesetze/DBAbkG%20ARM/2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