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DBAV — Überprüfung</w:t>
      </w:r>
    </w:p>
    <w:p>
      <w:r>
        <w:rPr>
          <w:color w:val="555555"/>
          <w:sz w:val="18"/>
        </w:rPr>
        <w:t xml:space="preserve">Differenzbetragsanpassungsverordnung</w:t>
      </w:r>
    </w:p>
    <w:p>
      <w:r>
        <w:rPr>
          <w:color w:val="555555"/>
          <w:sz w:val="18"/>
        </w:rPr>
        <w:t xml:space="preserve">Stand: 22.03.2023 (konsolidierte Textfassung, kein amtliches Inkrafttretensdatum)</w:t>
      </w:r>
    </w:p>
    <w:p>
      <w:r>
        <w:t xml:space="preserve">Das Bundesministerium für Wirtschaft und Klimaschutz überprüft die Anpassung der Berechnung der Differenzbeträge regelmäßig in einem zeitlichen Abstand von drei Monaten, erstmals spätestens zum 15. Juni 2023.</w:t>
      </w:r>
    </w:p>
    <w:p>
      <w:r>
        <w:rPr>
          <w:color w:val="555555"/>
          <w:sz w:val="17"/>
        </w:rPr>
        <w:t xml:space="preserve">Zitiervorschlag: § 2 DBAV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