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DBAV — Anpassung der im Erdgas-Wärme-Preisbremsengesetz und im Strompreisbremsegesetz geregelten Berechnung der Differenzbeträge</w:t>
      </w:r>
    </w:p>
    <w:p>
      <w:r>
        <w:rPr>
          <w:color w:val="555555"/>
          <w:sz w:val="18"/>
        </w:rPr>
        <w:t xml:space="preserve">Differenzbetragsanpassungsverordnung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Regelungen zur Berechnung des Differenzbetrages nach § 9 Absatz 2 und § 16 Absatz 2 des Erdgas-Wärme-Preisbremsengesetzes vom 20. Dezember 2022 (BGBI. I S. 2560) in der jeweils geltenden Fassung und nach § 5 Absatz 1 Satz 3 bis 6 des Strompreisbremsegesetzes vom 20. Dezember 2022 (BGBI. I S. 2512) in der jeweils geltenden Fassung sind im Zeitraum vom 1. Oktober 2023 bis zum Ablauf des 31. Dezember 2023 nach Maßgabe der Regelungen in den Absätzen 2, 3 und 4 anzuwenden. Für den Zeitraum vom 1. Mai 2023 bis zum Ablauf des 30. September 2023 ist die bis zum Ablauf des 30. September 2023 geltende Fassung dieser Verordnung anzuwenden.</w:t>
      </w:r>
    </w:p>
    <w:p>
      <w:r>
        <w:t xml:space="preserve">(2) Ergänzend zu § 9 Absatz 2 des Erdgas-Wärme-Preisbremsengesetzes darf der Differenzbetrag nach § 9 Absatz 2 des Erdgas-Wärme-Preisbremsengesetzes bei Letztverbrauchern von leitungsgebundenem Erdgas die Höhe von 6 Cent pro Kilowattstunde nicht übersteigen, wenn der Letztverbraucher von leitungsgebundenem Erdgas ein Unternehmen im Sinne von § 2 Nummer 13 des Erdgas-Wärme-Preisbremsengesetz ist und für diesen Letztverbraucher § 18 Absatz 1 Satz 1 Nummer 1 oder Nummer 2 Buchstabe a des Erdgas-Wärme-Preisbremsengesetzes anzuwenden ist.</w:t>
      </w:r>
    </w:p>
    <w:p>
      <w:r>
        <w:t xml:space="preserve">(3) Ergänzend zu § 16 Absatz 2 des Erdgas-Wärme-Preisbremsengesetzes darf der Differenzbetrag nach § 16 Absatz 2 Satz 1 des Erdgas-Wärme-Preisbremsengesetzes bei Kunden von Wärmeversorgungsunternehmen, die nach § 14 des Erdgas-Wärme-Preisbremsengesetztes anspruchsberechtigt sind, die Unternehmen im Sinne von § 2 Nummer 13 des Erdgas-Wärme-Preisbremsengesetzes sind und für die § 18 Absatz 1 Satz 1 Nummer 1 oder Nummer 2 Buchstabe a des Erdgas-Wärme-Preisbremsengesetzes anzuwenden ist, die folgende Höhe nicht übersteigen:</w:t>
      </w:r>
    </w:p>
    <w:p>
      <w:pPr>
        <w:ind w:left="420"/>
      </w:pPr>
      <w:r>
        <w:t xml:space="preserve">1. 8 Cent pro Kilowattstunde bei Kunden, die nach § 14 Absatz 1 des Erdgas-Wärme-Preisbremsengesetzes anspruchsberechtigt sind,</w:t>
      </w:r>
    </w:p>
    <w:p>
      <w:pPr>
        <w:ind w:left="420"/>
      </w:pPr>
      <w:r>
        <w:t xml:space="preserve">2. 8 Cent pro Kilowattstunde bei Kunden, die nach § 14 Absatz 2 des Erdgas-Wärme-Preisbremsengesetzes anspruchsberechtigt sind.</w:t>
      </w:r>
    </w:p>
    <w:p>
      <w:r>
        <w:t xml:space="preserve">(4) Ergänzend zu § 5 Absatz 1 Satz 3 bis 6 des Strompreisbremsegesetzes darf der Differenzbetrag nach § 5 Absatz 1 Satz 3 bis 6 des Strompreisbremsegesetzes bei Letztverbrauchern von Strom die Höhe von 18 Cent pro Kilowattstunde nicht übersteigen, wenn der Letztverbraucher von Strom ein Unternehmen im Sinne von § 2 Nummer 25 des Strompreisbremsegesetzes ist und für diesen Letztverbraucher § 9 Absatz 1 Satz 1 Nummer 1 oder Nummer 2 Buchstabe a des Strompreisbremsegesetzes anzuwenden ist.</w:t>
      </w:r>
    </w:p>
    <w:p>
      <w:r>
        <w:rPr>
          <w:color w:val="555555"/>
          <w:sz w:val="17"/>
        </w:rPr>
        <w:t xml:space="preserve">Zitiervorschlag: § 1 DBAV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