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DBATURNV — Vermeidung der Doppelbesteuerung</w:t>
      </w:r>
    </w:p>
    <w:p>
      <w:r>
        <w:rPr>
          <w:color w:val="555555"/>
          <w:sz w:val="18"/>
        </w:rPr>
        <w:t xml:space="preserve">Notifizierungsverordnung DBA Türkei</w:t>
      </w:r>
    </w:p>
    <w:p>
      <w:r>
        <w:rPr>
          <w:color w:val="555555"/>
          <w:sz w:val="18"/>
        </w:rPr>
        <w:t xml:space="preserve">Stand: 10.06.2019 (konsolidierte Textfassung, kein amtliches Inkrafttretensdatum)</w:t>
      </w:r>
    </w:p>
    <w:p>
      <w:r>
        <w:t xml:space="preserve">Aufgrund der auf diplomatischem Weg erfolgten Notifizierung gemäß Artikel 22 Absatz 2 Buchstabe e Doppelbuchstabe bb des Abkommens wird bei einer nach Artikel 4 des Abkommens in der Bundesrepublik Deutschland ansässigen Person die Doppelbesteuerung bei Einkünften aus nichtselbständiger Arbeit nach Artikel 15 des Abkommens wie folgt vermieden: Einkünfte, die nach dem Abkommen in der Republik Türkei besteuert werden können, sind nicht mehr von der Bemessungsgrundlage der deutschen Steuer nach Artikel 22 Absatz 2 Buchstabe a des Abkommens auszunehmen, wenn aufgrund eines anderen, nichtsteuerlichen bilateralen Abkommens die Republik Türkei diese Einkünfte nicht besteuern kann. In diesen Fällen vermeidet die Bundesrepublik Deutschland die Doppelbesteuerung durch Steueranrechnung nach Artikel 22 Absatz 2 Buchstabe b des Abkommens.</w:t>
      </w:r>
    </w:p>
    <w:p>
      <w:r>
        <w:rPr>
          <w:color w:val="555555"/>
          <w:sz w:val="17"/>
        </w:rPr>
        <w:t xml:space="preserve">Zitiervorschlag: § 2 DBATURNV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https://recht.nulegal.eu/gesetze/DBATURNV/2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