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DBASGPNV</w:t>
      </w:r>
    </w:p>
    <w:p>
      <w:r>
        <w:rPr>
          <w:color w:val="555555"/>
          <w:sz w:val="18"/>
        </w:rPr>
        <w:t xml:space="preserve">Notifizierungsverordnung DBA Singapur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DBASGPNV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https://recht.nulegal.eu/gesetze/DBASGPNV/schlussformel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