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DBASGPNV — Inkrafttreten</w:t>
      </w:r>
    </w:p>
    <w:p>
      <w:r>
        <w:rPr>
          <w:color w:val="555555"/>
          <w:sz w:val="18"/>
        </w:rPr>
        <w:t xml:space="preserve">Notifizierungsverordnung DBA Singapur</w:t>
      </w:r>
    </w:p>
    <w:p>
      <w:r>
        <w:rPr>
          <w:color w:val="555555"/>
          <w:sz w:val="18"/>
        </w:rPr>
        <w:t xml:space="preserve">Stand: 24.12.2021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4 DBASGPNV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https://recht.nulegal.eu/gesetze/DBASGPNV/4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