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DBASGPNV — Anwendungsregelung</w:t>
      </w:r>
    </w:p>
    <w:p>
      <w:r>
        <w:rPr>
          <w:color w:val="555555"/>
          <w:sz w:val="18"/>
        </w:rPr>
        <w:t xml:space="preserve">Notifizierungsverordnung DBA Singapur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Diese Verordnung ist erstmals auf Besteuerungssachverhalte ab dem 1. Januar 2022 anzuwenden.</w:t>
      </w:r>
    </w:p>
    <w:p>
      <w:r>
        <w:rPr>
          <w:color w:val="555555"/>
          <w:sz w:val="17"/>
        </w:rPr>
        <w:t xml:space="preserve">Zitiervorschlag: § 3 DBASGPNV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https://recht.nulegal.eu/gesetze/DBASGPNV/3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