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DBARevProtG FRA</w:t>
      </w:r>
    </w:p>
    <w:p>
      <w:r>
        <w:rPr>
          <w:color w:val="555555"/>
          <w:sz w:val="18"/>
        </w:rPr>
        <w:t xml:space="preserve">Gesetz zu dem Revisionsprotokoll vom 9. Juni 1969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w:t>
      </w:r>
    </w:p>
    <w:p>
      <w:r>
        <w:rPr>
          <w:color w:val="555555"/>
          <w:sz w:val="18"/>
        </w:rPr>
        <w:t xml:space="preserve">Stand: 10.06.2019 (konsolidierte Textfassung, kein amtliches Inkrafttretensdatum)</w:t>
      </w:r>
    </w:p>
    <w:p>
      <w:r>
        <w:t xml:space="preserve">(1) Soweit das Revisionsprotokoll auf Grund seines Artikels 7 Abs. 2 für die Zeit vor seinem Inkrafttreten anzuwenden ist, steht seiner Anwendung die Unanfechtbarkeit bereits vor dem Inkrafttreten ergangener Steuerfestsetzungen nicht entgegen. Ein Antrag nach Artikel 3 Abs. 2 dieses Gesetzes kann für Veranlagungszeiträume, die vor dem Zeitpunkt des Inkrafttretens des Revisionsprotokolls liegen, noch innerhalb eines Jahres nach dem Inkrafttreten gestellt werden.</w:t>
      </w:r>
    </w:p>
    <w:p>
      <w:r>
        <w:t xml:space="preserve">(2) Soweit sich auf Grund des Absatzes 1 dieses Artikels oder auf Grund des Artikels 7 Abs. 2 des Revisionsprotokolls für die Zeit bis zum Beginn des Jahres, in dem das Revisionsprotokoll in Kraft tritt; unter Berücksichtigung der jeweiligen französischen und deutschen Besteuerung insgesamt eine höhere Belastung ergibt, als sie nach den Rechtsvorschriften vor Inkrafttreten des Revisionsprotokolls bestand, wird der Steuermehrbetrag nicht erhoben.</w:t>
      </w:r>
    </w:p>
    <w:p>
      <w:r>
        <w:rPr>
          <w:color w:val="555555"/>
          <w:sz w:val="17"/>
        </w:rPr>
        <w:t xml:space="preserve">Zitiervorschlag: Art 4 DBARevProtG FRA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https://recht.nulegal.eu/gesetze/DBARevProtG%20FRA/4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