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DBALTUNotV — Anwendung</w:t>
      </w:r>
    </w:p>
    <w:p>
      <w:r>
        <w:rPr>
          <w:color w:val="555555"/>
          <w:sz w:val="18"/>
        </w:rPr>
        <w:t xml:space="preserve">Notifizierungsverordnung DBA Litauen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Diese Verordnung ist erstmals auf Steuern anzuwenden, die für Zeiträume ab 1. Januar 2026 erhoben werden.</w:t>
      </w:r>
    </w:p>
    <w:p>
      <w:r>
        <w:rPr>
          <w:color w:val="555555"/>
          <w:sz w:val="17"/>
        </w:rPr>
        <w:t xml:space="preserve">Zitiervorschlag: § 3 DBALTUNotV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https://recht.nulegal.eu/gesetze/DBALTUNotV/3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