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DBAGZustV</w:t>
      </w:r>
    </w:p>
    <w:p>
      <w:r>
        <w:rPr>
          <w:color w:val="555555"/>
          <w:sz w:val="18"/>
        </w:rPr>
        <w:t xml:space="preserve">DBAG-Zuständigkeitsverordnung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6 und des § 23 des Deutsche Bahn Gründungsgesetzes vom 27. Dezember 1993 (BGBl. I S. 2378, 2386) verordnet das Bundesministerium für Verkehr im Einvernehmen mit dem Bundesministerium des Innern:</w:t>
      </w:r>
    </w:p>
    <w:p>
      <w:r>
        <w:rPr>
          <w:color w:val="555555"/>
          <w:sz w:val="17"/>
        </w:rPr>
        <w:t xml:space="preserve">Zitiervorschlag: Eingangsformel DBAGZustV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