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DBAGZustV — Inkrafttreten</w:t>
      </w:r>
    </w:p>
    <w:p>
      <w:r>
        <w:rPr>
          <w:color w:val="555555"/>
          <w:sz w:val="18"/>
        </w:rPr>
        <w:t xml:space="preserve">DBAG-Zuständigkeitsverordnung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DBAGZustV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https://recht.nulegal.eu/gesetze/DBAGZustV/3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