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DBAGZustV — Übertragung beamtenrechtlicher Befugnisse zur Ausübung</w:t>
      </w:r>
    </w:p>
    <w:p>
      <w:r>
        <w:rPr>
          <w:color w:val="555555"/>
          <w:sz w:val="18"/>
        </w:rPr>
        <w:t xml:space="preserve">DBAG-Zuständigkeitsverordnung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Deutsche Bahn Aktiengesellschaft werden die folgenden aufgeführten beamtenrechtlichen Entscheidungen sowie sonstige Entscheidungen und Maßnahmen zur Ausübung übertragen für diejenigen Beamten des Bundeseisenbahnvermögens, die ihr auf Grund des § 12 Abs. 2 und 3 des Deutsche Bahn Gründungsgesetzes zugewiesen sind:</w:t>
      </w:r>
    </w:p>
    <w:p>
      <w:pPr>
        <w:ind w:left="420"/>
      </w:pPr>
      <w:r>
        <w:t xml:space="preserve">1. Umsetzung innerhalb eines Betriebes der Deutsche Bahn Aktiengesellschaft, wenn sie mit einem Wechsel des Dienstortes verbunden ist,</w:t>
      </w:r>
    </w:p>
    <w:p>
      <w:pPr>
        <w:ind w:left="420"/>
      </w:pPr>
      <w:r>
        <w:t xml:space="preserve">2. Zuweisung einer Tätigkeit auf Dauer in einem anderen Betrieb der Deutsche Bahn Aktiengesellschaft, Versetzung,</w:t>
      </w:r>
    </w:p>
    <w:p>
      <w:pPr>
        <w:ind w:left="420"/>
      </w:pPr>
      <w:r>
        <w:t xml:space="preserve">3. vorübergehende Zuweisung einer Tätigkeit bei einem anderen Betrieb der Deutsche Bahn Aktiengesellschaft, Abordnung,</w:t>
      </w:r>
    </w:p>
    <w:p>
      <w:pPr>
        <w:ind w:left="420"/>
      </w:pPr>
      <w:r>
        <w:t xml:space="preserve">4. Anordnungen, welche die Freiheit in der Wahl der Wohnung beschränken,</w:t>
      </w:r>
    </w:p>
    <w:p>
      <w:pPr>
        <w:ind w:left="420"/>
      </w:pPr>
      <w:r>
        <w:t xml:space="preserve">5. Regelung der Ordnung im Betrieb und des Verhaltens der Beschäftigten,</w:t>
      </w:r>
    </w:p>
    <w:p>
      <w:pPr>
        <w:ind w:left="420"/>
      </w:pPr>
      <w:r>
        <w:t xml:space="preserve">6. Beginn und Ende der täglichen Arbeitszeit und der Pausen bei der Deutsche Bahn Aktiengesellschaft sowie die Verteilung der Arbeitszeit auf die einzelnen Wochentage,</w:t>
      </w:r>
    </w:p>
    <w:p>
      <w:pPr>
        <w:ind w:left="420"/>
      </w:pPr>
      <w:r>
        <w:t xml:space="preserve">7. Anordnung von Mehrarbeit,</w:t>
      </w:r>
    </w:p>
    <w:p>
      <w:pPr>
        <w:ind w:left="420"/>
      </w:pPr>
      <w:r>
        <w:t xml:space="preserve">8. Aufstellung des Urlaubsplanes, Festsetzung der zeitlichen Lage des Erholungsurlaubs für einzelne Beschäftigte, wenn zwischen dem Arbeitgeber und den beteiligten Beschäftigten kein Einverständnis erzielt wird,</w:t>
      </w:r>
    </w:p>
    <w:p>
      <w:pPr>
        <w:ind w:left="420"/>
      </w:pPr>
      <w:r>
        <w:t xml:space="preserve">9. Einführung und Anwendung technischer Einrichtungen, die dazu bestimmt sind, das Verhalten oder die Leistung der Beschäftigten zu überwachen,</w:t>
      </w:r>
    </w:p>
    <w:p>
      <w:pPr>
        <w:ind w:left="420"/>
      </w:pPr>
      <w:r>
        <w:t xml:space="preserve">10. Maßnahmen des Arbeitsschutzes zur Verhütung von Dienst- und Arbeitsunfällen sowie von arbeitsbedingten Gesundheitsgefahren,</w:t>
      </w:r>
    </w:p>
    <w:p>
      <w:pPr>
        <w:ind w:left="420"/>
      </w:pPr>
      <w:r>
        <w:t xml:space="preserve">11. soweit es sich um anderweitige Bezüge für zugewiesene Beamte handelt, Fragen der betrieblichen Lohngestaltung, insbesondere die Aufstellung von Entlohnungsmethoden sowie deren Änderung, Festsetzung der Akkord- und Prämiensätze und vergleichbarer leistungsbezogener Entgelte, einschließlich der Geldfaktoren,</w:t>
      </w:r>
    </w:p>
    <w:p>
      <w:pPr>
        <w:ind w:left="420"/>
      </w:pPr>
      <w:r>
        <w:t xml:space="preserve">12. Grundsätze über die Bewertung von anerkannten Vorschlägen im Rahmen des betrieblichen Vorschlagwesens,</w:t>
      </w:r>
    </w:p>
    <w:p>
      <w:pPr>
        <w:ind w:left="420"/>
      </w:pPr>
      <w:r>
        <w:t xml:space="preserve">13. Gestaltung der Arbeitsplätze,</w:t>
      </w:r>
    </w:p>
    <w:p>
      <w:pPr>
        <w:ind w:left="420"/>
      </w:pPr>
      <w:r>
        <w:t xml:space="preserve">14. grundlegende Änderungen von Arbeitsverfahren und Arbeitsabläufen,</w:t>
      </w:r>
    </w:p>
    <w:p>
      <w:pPr>
        <w:ind w:left="420"/>
      </w:pPr>
      <w:r>
        <w:t xml:space="preserve">15. Maßnahmen zur Hebung der Arbeitsleistung und Erleichterung des Arbeitsablaufs,</w:t>
      </w:r>
    </w:p>
    <w:p>
      <w:pPr>
        <w:ind w:left="420"/>
      </w:pPr>
      <w:r>
        <w:t xml:space="preserve">16. Absehen von der Ausschreibung von Dienstposten, die besetzt werden sollen,</w:t>
      </w:r>
    </w:p>
    <w:p>
      <w:pPr>
        <w:ind w:left="420"/>
      </w:pPr>
      <w:r>
        <w:t xml:space="preserve">17. Erstellen von Personalfragebogen, soweit der Fragebogen Fragen zur Tätigkeit bei der Deutsche Bahn Aktiengesellschaft zum Inhalt hat,</w:t>
      </w:r>
    </w:p>
    <w:p>
      <w:pPr>
        <w:ind w:left="420"/>
      </w:pPr>
      <w:r>
        <w:t xml:space="preserve">18. Beurteilungsrichtlinien für eine Tätigkeit bei der Deutsche Bahn Aktiengesellschaft,</w:t>
      </w:r>
    </w:p>
    <w:p>
      <w:pPr>
        <w:ind w:left="420"/>
      </w:pPr>
      <w:r>
        <w:t xml:space="preserve">19. Erlaß von Richtlinien über die personelle Auswahl bei Versetzungen,</w:t>
      </w:r>
    </w:p>
    <w:p>
      <w:pPr>
        <w:ind w:left="420"/>
      </w:pPr>
      <w:r>
        <w:t xml:space="preserve">20. Auswahl der Teilnehmer an Fortbildungsveranstaltungen,</w:t>
      </w:r>
    </w:p>
    <w:p>
      <w:pPr>
        <w:ind w:left="420"/>
      </w:pPr>
      <w:r>
        <w:t xml:space="preserve">21. allgemeine Fragen der Fortbildung der Beschäftigten,</w:t>
      </w:r>
    </w:p>
    <w:p>
      <w:pPr>
        <w:ind w:left="420"/>
      </w:pPr>
      <w:r>
        <w:t xml:space="preserve">22. Einführung grundlegend neuer Arbeitsmethoden,</w:t>
      </w:r>
    </w:p>
    <w:p>
      <w:pPr>
        <w:ind w:left="420"/>
      </w:pPr>
      <w:r>
        <w:t xml:space="preserve">23. Entscheidung über Anträge auf Genehmigung einer Nebentätigkeit; Widerruf einer Nebentätigkeitsgenehmigung; Entscheidung über die Annahme von Belohnungen, Geschenken und sonstigen Vorteilen,</w:t>
      </w:r>
    </w:p>
    <w:p>
      <w:pPr>
        <w:ind w:left="420"/>
      </w:pPr>
      <w:r>
        <w:t xml:space="preserve">24. Entscheidung über Anträge nach den § 91, 92 oder nach § 92a des Bundesbeamtengesetzes auf Teilzeitbeschäftigung, auf Ermäßigung der regelmäßigen Arbeitszeit,</w:t>
      </w:r>
    </w:p>
    <w:p>
      <w:pPr>
        <w:ind w:left="420"/>
      </w:pPr>
      <w:r>
        <w:t xml:space="preserve">25. Geltendmachung von Schadensersatzansprüchen nach Maßgabe des § 75 des Bundesbeamtengesetzes und Geltendmachung von Herausgabeansprüchen nach § 71 Abs. 2 des Bundesbeamtengesetzes,</w:t>
      </w:r>
    </w:p>
    <w:p>
      <w:pPr>
        <w:ind w:left="420"/>
      </w:pPr>
      <w:r>
        <w:t xml:space="preserve">26. Stellenausschreibung nach § 22 Abs. 1 in Verbindung mit § 8 Abs. 1 Satz 1 und § 9 des Bundesbeamtengesetzes und § 4 Abs. 2 der Bundeslaufbahnverordnung in der Fassung der Bekanntmachung vom 2. Juli 2002 (BGBl. I S. 2459, 2671), die zuletzt durch Artikel 15 Absatz 28 des Gesetzes vom 5. Februar 2009 (BGBl. I S. 160) geändert worden ist, zur Übertragung von höher bewerteten Tätigkeiten bei der Deutsche Bahn Aktiengesellschaft,</w:t>
      </w:r>
    </w:p>
    <w:p>
      <w:pPr>
        <w:ind w:left="420"/>
      </w:pPr>
      <w:r>
        <w:t xml:space="preserve">27. Gewährung von Urlaub nach der Erholungsurlaubsverordnung, der Sonderurlaubsverordnung und der Elternzeitverordnung, soweit eine Entscheidung nicht der obersten Dienstbehörde vorbehalten ist; Dienstbefreiung,</w:t>
      </w:r>
    </w:p>
    <w:p>
      <w:pPr>
        <w:ind w:left="420"/>
      </w:pPr>
      <w:r>
        <w:t xml:space="preserve">28. Gewähren von Freizeitausgleich oder Vergütung für Mehrarbeit,</w:t>
      </w:r>
    </w:p>
    <w:p>
      <w:pPr>
        <w:ind w:left="420"/>
      </w:pPr>
      <w:r>
        <w:t xml:space="preserve">29. Anordnung und Genehmigung von Dienstreisen und Dienstgängen,</w:t>
      </w:r>
    </w:p>
    <w:p>
      <w:pPr>
        <w:ind w:left="420"/>
      </w:pPr>
      <w:r>
        <w:t xml:space="preserve">30. vorübergehende Untersagung der Dienstausübung,</w:t>
      </w:r>
    </w:p>
    <w:p>
      <w:pPr>
        <w:ind w:left="420"/>
      </w:pPr>
      <w:r>
        <w:t xml:space="preserve">31. Genehmigung nach § 67 Abs. 3 sowie die §§ 68 und 69 des Bundesbeamtengesetzes in Angelegenheiten der Deutsche Bahn Aktiengesellschaft,</w:t>
      </w:r>
    </w:p>
    <w:p>
      <w:pPr>
        <w:ind w:left="420"/>
      </w:pPr>
      <w:r>
        <w:t xml:space="preserve">32. Auskünfte an die Presse in Angelegenheiten der Deutsche Bahn Aktiengesellschaft (§ 70 des Bundesbeamtengesetzes),</w:t>
      </w:r>
    </w:p>
    <w:p>
      <w:pPr>
        <w:ind w:left="420"/>
      </w:pPr>
      <w:r>
        <w:t xml:space="preserve">33. Entgegennahme von Anzeigen zum Nachweis der Dienstunfähigkeit bei Erkrankung,</w:t>
      </w:r>
    </w:p>
    <w:p>
      <w:pPr>
        <w:ind w:left="420"/>
      </w:pPr>
      <w:r>
        <w:t xml:space="preserve">34. Verlangen des Nachweises der vorübergehenden Dienstunfähigkeit bei Erkrankung,</w:t>
      </w:r>
    </w:p>
    <w:p>
      <w:pPr>
        <w:ind w:left="420"/>
      </w:pPr>
      <w:r>
        <w:t xml:space="preserve">35. Anordnung zu ärztlichen Untersuchungen,</w:t>
      </w:r>
    </w:p>
    <w:p>
      <w:pPr>
        <w:ind w:left="420"/>
      </w:pPr>
      <w:r>
        <w:t xml:space="preserve">36. Veranlassen von Gesundheitsmaßnahmen zur Wiederherstellung oder Erhaltung der Dienstfähigkeit,</w:t>
      </w:r>
    </w:p>
    <w:p>
      <w:pPr>
        <w:ind w:left="420"/>
      </w:pPr>
      <w:r>
        <w:t xml:space="preserve">37. Begründung der Notwendigkeit einer Unabkömmlichstellung bei Grundwehrdienst und Wehrübung,</w:t>
      </w:r>
    </w:p>
    <w:p>
      <w:pPr>
        <w:ind w:left="420"/>
      </w:pPr>
      <w:r>
        <w:t xml:space="preserve">38. Erstattung von Auslagen auf Grund des Bundesreisekostengesetzes, des Bundesumzugskostengesetzes sowie ergänzender Bestimmungen des Bundesministeriums für Verkehr und digitale Infrastruktur nach § 7 Abs. 5 des Gesetzes zur Zusammenführung und Neugliederung der Bundeseisenbahnen,</w:t>
      </w:r>
    </w:p>
    <w:p>
      <w:pPr>
        <w:ind w:left="420"/>
      </w:pPr>
      <w:r>
        <w:t xml:space="preserve">39. Zusage der Umzugskostenvergütung,</w:t>
      </w:r>
    </w:p>
    <w:p>
      <w:pPr>
        <w:ind w:left="420"/>
      </w:pPr>
      <w:r>
        <w:t xml:space="preserve">40. Führen von Teilakten nach § 106 Abs. 2 des Bundesbeamtengesetzes, wenn und soweit es sich um Entscheidungen und Maßnahmen handelt, die der Deutsche Bahn Aktiengesellschaft zur Ausübung übertragen sind,</w:t>
      </w:r>
    </w:p>
    <w:p>
      <w:pPr>
        <w:ind w:left="420"/>
      </w:pPr>
      <w:r>
        <w:t xml:space="preserve">41. Einschätzungen der Leistungen nach § 27 Abs. 4, 5 und 7 des Bundesbesoldungsgesetzes.</w:t>
      </w:r>
    </w:p>
    <w:p>
      <w:r>
        <w:rPr>
          <w:color w:val="555555"/>
          <w:sz w:val="17"/>
        </w:rPr>
        <w:t xml:space="preserve">Zitiervorschlag: § 1 DBAGZustV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