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DBAG MAN</w:t>
      </w:r>
    </w:p>
    <w:p>
      <w:r>
        <w:rPr>
          <w:color w:val="555555"/>
          <w:sz w:val="18"/>
        </w:rPr>
        <w:t xml:space="preserve">Gesetz zu dem Abkommen vom 2. März 2009 zwischen der Regierung der Bundesrepublik Deutschland und der Regierung der Insel Man zur Vermeidung der Doppelbesteuerung von im internationalen Verkehr tätigen Schifffahrtsunternehmen</w:t>
      </w:r>
    </w:p>
    <w:p>
      <w:r>
        <w:rPr>
          <w:color w:val="555555"/>
          <w:sz w:val="18"/>
        </w:rPr>
        <w:t xml:space="preserve">Stand: 10.06.2019 (konsolidierte Textfassung, kein amtliches Inkrafttretensdatum)</w:t>
      </w:r>
    </w:p>
    <w:p>
      <w:r>
        <w:t xml:space="preserve">Soweit das Abkommen auf Grund seines Artikels 5 Absatz 2 für die Zeit vor seinem Inkrafttreten anzuwenden ist, sind bereits ergangene Steuerfestsetzungen zu ändern oder aufzuheben. Steuerfestsetzungen sowie ihre Aufhebung und Änderung sind insoweit auch zulässig, wenn die Festsetzungsfrist abgelaufen ist; dies gilt nur bis zum Ablauf des vierten Kalenderjahrs, das auf das Kalenderjahr folgt, in dem das Abkommen in Kraft getreten ist.</w:t>
      </w:r>
    </w:p>
    <w:p>
      <w:r>
        <w:rPr>
          <w:color w:val="555555"/>
          <w:sz w:val="17"/>
        </w:rPr>
        <w:t xml:space="preserve">Zitiervorschlag: Art 2 DBAG MAN</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https://recht.nulegal.eu/gesetze/DBAG%20MAN/2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