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DBAG LTU</w:t>
      </w:r>
    </w:p>
    <w:p>
      <w:r>
        <w:rPr>
          <w:color w:val="555555"/>
          <w:sz w:val="18"/>
        </w:rPr>
        <w:t xml:space="preserve">Gesetz zu dem Abkommen vom 22. Juli 1997 zwischen der Bundesrepublik Deutschland und der Republik Litauen zur Vermeidung der Doppelbesteuerung auf dem Gebiet der Steuern vom Einkommen und vom Vermögen</w:t>
      </w:r>
    </w:p>
    <w:p>
      <w:r>
        <w:rPr>
          <w:color w:val="555555"/>
          <w:sz w:val="18"/>
        </w:rPr>
        <w:t xml:space="preserve">Stand: 10.06.2019 (konsolidierte Textfassung, kein amtliches Inkrafttretensdatum)</w:t>
      </w:r>
    </w:p>
    <w:p>
      <w:r>
        <w:t xml:space="preserve">Soweit das Abkommen auf Grund seines Artikels 28 Abs. 2 für die Zeit vor seinem Inkrafttreten anzuwenden ist, sind bereits ergangene Steuerfestsetzungen zu ändern oder aufzuheben. Steuerfestsetzungen sowie ihre Aufhebung und Änderung sind insoweit auch zulässig, wenn die Festsetzungsfrist abgelaufen ist; dies gilt nur bis zum Ablauf des vierten Kalenderjahrs, das auf das Kalenderjahr folgt, in dem das Abkommen in Kraft getreten ist. Soweit sich bis zum Zeitpunkt des Inkrafttretens des Abkommens unter Berücksichtigung der jeweiligen Besteuerung in der Bundesrepublik Deutschland und in der Republik Litauen insgesamt eine höhere Belastung ergibt, als sie nach den Rechtsvorschriften vor dem Inkrafttreten des Abkommens bestand, wird der Steuermehrbetrag nicht festgesetzt.</w:t>
      </w:r>
    </w:p>
    <w:p>
      <w:r>
        <w:rPr>
          <w:color w:val="555555"/>
          <w:sz w:val="17"/>
        </w:rPr>
        <w:t xml:space="preserve">Zitiervorschlag: Art 2 DBAG LTU</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https://recht.nulegal.eu/gesetze/DBAG%20LTU/2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