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DADG — Zuständige Behörde; Aufgaben</w:t>
      </w:r>
    </w:p>
    <w:p>
      <w:r>
        <w:rPr>
          <w:color w:val="555555"/>
          <w:sz w:val="18"/>
        </w:rPr>
        <w:t xml:space="preserve">Datenverordnung-Anwendungs-und-Durchsetzungs-Gesetz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Die Bundesnetzagentur für Elektrizität, Gas, Telekommunikation, Post und Eisenbahnen (Bundesnetzagentur) ist nach Artikel 37 Absatz 1 der Datenverordnung zuständige Behörde für die Anwendung und Durchsetzung der Datenverordnung.</w:t>
      </w:r>
    </w:p>
    <w:p>
      <w:r>
        <w:t xml:space="preserve">(2) Die Bundesnetzagentur</w:t>
      </w:r>
    </w:p>
    <w:p>
      <w:pPr>
        <w:ind w:left="420"/>
      </w:pPr>
      <w:r>
        <w:t xml:space="preserve">1. ist zentrale Anlaufstelle für alle Fragen im Zusammenhang mit der Durchführung der Datenverordnung; dies umfasst insbesondere die Information der Öffentlichkeit zu Fragen der Durchführung der Datenverordnung, die Bearbeitung allgemeiner und besonderer Beschwerden sowie die nationale Aufsicht für die Anwendung und Durchsetzung der Datenverordnung,</w:t>
      </w:r>
    </w:p>
    <w:p>
      <w:pPr>
        <w:ind w:left="420"/>
      </w:pPr>
      <w:r>
        <w:t xml:space="preserve">2. informiert die Europäische Kommission jährlich über die nach Artikel 4 Absatz 2 und 8 sowie nach Artikel 5 Absatz 11 der Datenverordnung mitgeteilten Ablehnungen,</w:t>
      </w:r>
    </w:p>
    <w:p>
      <w:pPr>
        <w:ind w:left="420"/>
      </w:pPr>
      <w:r>
        <w:t xml:space="preserve">3. lässt Streitbeilegungsstellen gemäß Artikel 10 Absatz 5 der Datenverordnung zu,</w:t>
      </w:r>
    </w:p>
    <w:p>
      <w:pPr>
        <w:ind w:left="420"/>
      </w:pPr>
      <w:r>
        <w:t xml:space="preserve">4. gewährleistet die öffentliche Verfügbarkeit der von öffentlichen Stellen im Fall außergewöhnlicher Notwendigkeit nach Artikel 17 Absatz 2 Buchstabe g der Datenverordnung gestellten Datenverlangen,</w:t>
      </w:r>
    </w:p>
    <w:p>
      <w:pPr>
        <w:ind w:left="420"/>
      </w:pPr>
      <w:r>
        <w:t xml:space="preserve">5. übermittelt der Europäischen Kommission auf deren Ersuchen alle zur Ausarbeitung des Berichts nach Artikel 49 der Datenverordnung erforderlichen Informationen,</w:t>
      </w:r>
    </w:p>
    <w:p>
      <w:pPr>
        <w:ind w:left="420"/>
      </w:pPr>
      <w:r>
        <w:t xml:space="preserve">6. fördert freiwillige Datenweitergabevereinbarungen zwischen öffentlichen Stellen und Dateninhabern,</w:t>
      </w:r>
    </w:p>
    <w:p>
      <w:pPr>
        <w:ind w:left="420"/>
      </w:pPr>
      <w:r>
        <w:t xml:space="preserve">7. fördert die Weitergabe von Daten an Forschungseinrichtungen nach Artikel 21 der Datenverordnung und</w:t>
      </w:r>
    </w:p>
    <w:p>
      <w:pPr>
        <w:ind w:left="420"/>
      </w:pPr>
      <w:r>
        <w:t xml:space="preserve">8. prüft Datenverlangen öffentlicher Stellen des Bundes nach Kapitel V der Datenverordnung; die Zuständigkeit für die Prüfung der Datenverlangen öffentlicher Stellen der Länder verbleibt bei den jeweils nach Landesrecht zuständigen Stellen.</w:t>
      </w:r>
    </w:p>
    <w:p>
      <w:r>
        <w:rPr>
          <w:color w:val="555555"/>
          <w:sz w:val="17"/>
        </w:rPr>
        <w:t xml:space="preserve">Zitiervorschlag: § 2 DADG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