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DADG — Bußgeldvorschriften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5 Absatz 2 Satz 3 die Bundesnetzagentur nicht, nicht richtig, nicht vollständig oder nicht rechtzeitig unterrichtet oder</w:t>
      </w:r>
    </w:p>
    <w:p>
      <w:pPr>
        <w:ind w:left="420"/>
      </w:pPr>
      <w:r>
        <w:t xml:space="preserve">2. einer vollziehbaren Anordnung nach § 9 Absatz 3 zuwiderhandelt.</w:t>
      </w:r>
    </w:p>
    <w:p>
      <w:r>
        <w:t xml:space="preserve">(2) Ordnungswidrig handelt, wer gegen die Datenverordnung in der Fassung vom 13. Dezember 2023 verstößt, indem er</w:t>
      </w:r>
    </w:p>
    <w:p>
      <w:pPr>
        <w:ind w:left="420"/>
      </w:pPr>
      <w:r>
        <w:t xml:space="preserve">1. entgegen Artikel 3 Absatz 1 vernetzte Produkte nicht richtig konzipiert oder nicht richtig herstellt oder verbundene Dienste nicht richtig konzipiert oder nicht richtig erbringt,</w:t>
      </w:r>
    </w:p>
    <w:p>
      <w:pPr>
        <w:ind w:left="420"/>
      </w:pPr>
      <w:r>
        <w:t xml:space="preserve">2. entgegen Artikel 4 Absatz 1 Satz 1 oder Artikel 5 Absatz 1 Satz 1 Daten nicht, nicht richtig, nicht vollständig, nicht in der vorgeschriebenen Weise oder nicht rechtzeitig bereitstellt,</w:t>
      </w:r>
    </w:p>
    <w:p>
      <w:pPr>
        <w:ind w:left="420"/>
      </w:pPr>
      <w:r>
        <w:t xml:space="preserve">3. entgegen Artikel 4 Absatz 5 Satz 1 oder Artikel 5 Absatz 4 Satz 1 eine Information verlangt,</w:t>
      </w:r>
    </w:p>
    <w:p>
      <w:pPr>
        <w:ind w:left="420"/>
      </w:pPr>
      <w:r>
        <w:t xml:space="preserve">4. entgegen Artikel 4 Absatz 7 Satz 2, Artikel 5 Absatz 10 Satz 2, Artikel 25 Absatz 4 Satz 1 oder Artikel 32 Absatz 5 eine Mitteilung nicht, nicht richtig, nicht vollständig, nicht in vorgeschriebener Weise oder nicht rechtzeitig macht,</w:t>
      </w:r>
    </w:p>
    <w:p>
      <w:pPr>
        <w:ind w:left="420"/>
      </w:pPr>
      <w:r>
        <w:t xml:space="preserve">5. entgegen Artikel 4 Absatz 8 Satz 2 oder Artikel 5 Absatz 11 Satz 2 einen Nachweis nicht, nicht richtig, nicht vollständig, nicht in der vorgeschriebenen Weise oder nicht rechtzeitig vorlegt,</w:t>
      </w:r>
    </w:p>
    <w:p>
      <w:pPr>
        <w:ind w:left="420"/>
      </w:pPr>
      <w:r>
        <w:t xml:space="preserve">6. entgegen Artikel 4 Absatz 10 Daten nutzt oder weitergibt,</w:t>
      </w:r>
    </w:p>
    <w:p>
      <w:pPr>
        <w:ind w:left="420"/>
      </w:pPr>
      <w:r>
        <w:t xml:space="preserve">7. entgegen Artikel 4 Absatz 13 Satz 2 oder Artikel 5 Absatz 6 Daten verwendet,</w:t>
      </w:r>
    </w:p>
    <w:p>
      <w:pPr>
        <w:ind w:left="420"/>
      </w:pPr>
      <w:r>
        <w:t xml:space="preserve">8. entgegen Artikel 4 Absatz 14 Satz 1 Produktdaten bereitstellt,</w:t>
      </w:r>
    </w:p>
    <w:p>
      <w:pPr>
        <w:ind w:left="420"/>
      </w:pPr>
      <w:r>
        <w:t xml:space="preserve">9. entgegen Artikel 5 Absatz 3 Buchstabe a oder b einen Nutzer dazu auffordert oder durch geschäftliche Anreize dazu veranlasst, Daten bereitzustellen oder vom Dateninhaber zu verlangen, Daten bereitzustellen,</w:t>
      </w:r>
    </w:p>
    <w:p>
      <w:pPr>
        <w:ind w:left="420"/>
      </w:pPr>
      <w:r>
        <w:t xml:space="preserve">10. entgegen Artikel 6 Absatz 1 Satz 2 Daten nicht, nicht vollständig oder nicht rechtzeitig löscht,</w:t>
      </w:r>
    </w:p>
    <w:p>
      <w:pPr>
        <w:ind w:left="420"/>
      </w:pPr>
      <w:r>
        <w:t xml:space="preserve">11. entgegen Artikel 6 Absatz 2 Buchstabe b Daten nutzt,</w:t>
      </w:r>
    </w:p>
    <w:p>
      <w:pPr>
        <w:ind w:left="420"/>
      </w:pPr>
      <w:r>
        <w:t xml:space="preserve">12. entgegen Artikel 6 Absatz 2 Buchstabe c oder d Daten bereitstellt,</w:t>
      </w:r>
    </w:p>
    <w:p>
      <w:pPr>
        <w:ind w:left="420"/>
      </w:pPr>
      <w:r>
        <w:t xml:space="preserve">13. entgegen Artikel 6 Absatz 2 Buchstabe e Daten nutzt oder weitergibt,</w:t>
      </w:r>
    </w:p>
    <w:p>
      <w:pPr>
        <w:ind w:left="420"/>
      </w:pPr>
      <w:r>
        <w:t xml:space="preserve">14. entgegen Artikel 6 Absatz 2 Buchstabe h einen Nutzer daran hindert, Daten bereitzustellen,</w:t>
      </w:r>
    </w:p>
    <w:p>
      <w:pPr>
        <w:ind w:left="420"/>
      </w:pPr>
      <w:r>
        <w:t xml:space="preserve">15. entgegen Artikel 9 Absatz 7 bei einer Verhandlung über die Gegenleistung eine Information nicht, nicht richtig oder nicht vollständig bereitstellt,</w:t>
      </w:r>
    </w:p>
    <w:p>
      <w:pPr>
        <w:ind w:left="420"/>
      </w:pPr>
      <w:r>
        <w:t xml:space="preserve">16. entgegen Artikel 11 Absatz 1 Satz 2 Datenempfänger unterschiedlich behandelt,</w:t>
      </w:r>
    </w:p>
    <w:p>
      <w:pPr>
        <w:ind w:left="420"/>
      </w:pPr>
      <w:r>
        <w:t xml:space="preserve">17. entgegen Artikel 11 Absatz 2 einer Aufforderung nicht, nicht richtig, nicht vollständig oder nicht rechtzeitig nachkommt,</w:t>
      </w:r>
    </w:p>
    <w:p>
      <w:pPr>
        <w:ind w:left="420"/>
      </w:pPr>
      <w:r>
        <w:t xml:space="preserve">18. einer vollziehbaren Anordnung nach Artikel 14 zuwiderhandelt,</w:t>
      </w:r>
    </w:p>
    <w:p>
      <w:pPr>
        <w:ind w:left="420"/>
      </w:pPr>
      <w:r>
        <w:t xml:space="preserve">19. entgegen Artikel 23 Satz 2 ein dort genanntes Hindernis aufzwingt,</w:t>
      </w:r>
    </w:p>
    <w:p>
      <w:pPr>
        <w:ind w:left="420"/>
      </w:pPr>
      <w:r>
        <w:t xml:space="preserve">20. entgegen Artikel 25 Absatz 1 Satz 2 einen Vertrag nach Artikel 25 Absatz 1 Satz 1 in Verbindung mit Absatz 2 oder 3 nicht, nicht richtig, nicht vollständig oder nicht rechtzeitig bereitstellt,</w:t>
      </w:r>
    </w:p>
    <w:p>
      <w:pPr>
        <w:ind w:left="420"/>
      </w:pPr>
      <w:r>
        <w:t xml:space="preserve">21. entgegen Artikel 26 bei Vertragsschluss eine Information oder einen Verweis nicht, nicht richtig oder nicht vollständig bereitstellt,</w:t>
      </w:r>
    </w:p>
    <w:p>
      <w:pPr>
        <w:ind w:left="420"/>
      </w:pPr>
      <w:r>
        <w:t xml:space="preserve">22. entgegen Artikel 30 Absatz 2 Satz 1 eine Schnittstelle nicht oder nicht richtig bereitstellt,</w:t>
      </w:r>
    </w:p>
    <w:p>
      <w:pPr>
        <w:ind w:left="420"/>
      </w:pPr>
      <w:r>
        <w:t xml:space="preserve">23. entgegen Artikel 30 Absatz 3 Kompatibilität nicht mindestens zwölf Monate nach der Veröffentlichung gemeinsamer Spezifikationen gewährleistet,</w:t>
      </w:r>
    </w:p>
    <w:p>
      <w:pPr>
        <w:ind w:left="420"/>
      </w:pPr>
      <w:r>
        <w:t xml:space="preserve">24. entgegen Artikel 30 Absatz 5 Daten nicht, nicht richtig, nicht vollständig, nicht in der vorgegebenen Weise oder nicht rechtzeitig exportiert,</w:t>
      </w:r>
    </w:p>
    <w:p>
      <w:pPr>
        <w:ind w:left="420"/>
      </w:pPr>
      <w:r>
        <w:t xml:space="preserve">25. entgegen Artikel 31 Absatz 3 den Kunden nicht, nicht richtig, nicht vollständig oder nicht rechtzeitig unterrichtet,</w:t>
      </w:r>
    </w:p>
    <w:p>
      <w:pPr>
        <w:ind w:left="420"/>
      </w:pPr>
      <w:r>
        <w:t xml:space="preserve">26. entgegen Artikel 37 Absatz 11 einen Vertreter nicht oder nicht bei der Bereitstellung vernetzter Produkte oder dem Angebot verbundener Dienste benennt oder</w:t>
      </w:r>
    </w:p>
    <w:p>
      <w:pPr>
        <w:ind w:left="420"/>
      </w:pPr>
      <w:r>
        <w:t xml:space="preserve">27. entgegen Artikel 37 Absatz 12 Satz 1 einen Vertreter nicht oder nicht bei der Bereitstellung vernetzter Produkte oder dem Angebot verbundener Dienste beauftragt.</w:t>
      </w:r>
    </w:p>
    <w:p>
      <w:r>
        <w:t xml:space="preserve">(3) Ordnungswidrig handelt, wer Daten nicht gemäß Artikel 6 Absatz 1 Satz 1 der Datenverordnung in der Fassung vom 13. Dezember 2023 entsprechend der mit dem Nutzer vereinbarten Zwecke und Bedingungen verarbeitet.</w:t>
      </w:r>
    </w:p>
    <w:p>
      <w:r>
        <w:t xml:space="preserve">(4) Die Ordnungswidrigkeit kann in den Fällen des Absatzes 2 Nummer 9 mit einer Geldbuße bis zu fünf Millionen Euro, in den Fällen des Absatzes 1 Nummer 2 und des Absatzes 2 Nummer 1, 2, 6, 7, 12 und 13 mit einer Geldbuße bis zu fünfhunderttausend Euro, in den Fällen des Absatzes 1 Nummer 1, des Absatzes 2 Nummer 8, 10, 11, 14, 16 bis 19, 22, 23 und 25 und des Absatzes 3 mit einer Geldbuße bis zu hunderttausend Euro und in den übrigen Fällen des Absatzes 2 mit einer Geldbuße bis zu fünfzigtausend Euro geahndet werden.</w:t>
      </w:r>
    </w:p>
    <w:p>
      <w:r>
        <w:t xml:space="preserve">(5) Gegenüber einer juristischen Person oder Personenvereinigung mit einem Gesamtumsatz von mehr als 250 Millionen Euro kann abweichend von Absatz 4 in Verbindung mit § 30 Absatz 2 Satz 2 des Gesetzes über Ordnungswidrigkeiten eine Ordnungswidrigkeit nach Absatz 2 Nummer 9 mit einer Geldbuße bis zu 2 Prozent des Gesamtumsatzes geahndet werden.</w:t>
      </w:r>
    </w:p>
    <w:p>
      <w:r>
        <w:t xml:space="preserve">(6) Gesamtumsatz nach Absatz 5 ist die Summe der Umsatzerlöse, die die juristische Person oder Personenvereinigung in dem der Behördenentscheidung vorausgegangenen Geschäftsjahr weltweit erzielt hat. Der Gesamtumsatz kann geschätzt werden.</w:t>
      </w:r>
    </w:p>
    <w:p>
      <w:r>
        <w:t xml:space="preserve">(7) Verwaltungsbehörde im Sinne des § 36 Absatz 1 Nummer 1 des Gesetzes über Ordnungswidrigkeiten ist die Bundesnetzagentur.</w:t>
      </w:r>
    </w:p>
    <w:p>
      <w:r>
        <w:rPr>
          <w:color w:val="555555"/>
          <w:sz w:val="17"/>
        </w:rPr>
        <w:t xml:space="preserve">Zitiervorschlag: § 15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