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DADG — Vorläufige Anordnungen</w:t>
      </w:r>
    </w:p>
    <w:p>
      <w:r>
        <w:rPr>
          <w:color w:val="555555"/>
          <w:sz w:val="18"/>
        </w:rPr>
        <w:t xml:space="preserve">Datenverordnung-Anwendungs-und-Durchsetzungs-Gesetz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Die Bundesnetzagentur kann bis zu einer endgültigen Entscheidung vorläufige Anordnungen treffen.</w:t>
      </w:r>
    </w:p>
    <w:p>
      <w:r>
        <w:rPr>
          <w:color w:val="555555"/>
          <w:sz w:val="17"/>
        </w:rPr>
        <w:t xml:space="preserve">Zitiervorschlag: § 11 DADG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https://recht.nulegal.eu/gesetze/DADG/11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