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 DADG — Anwendungsbereich</w:t>
      </w:r>
    </w:p>
    <w:p>
      <w:r>
        <w:rPr>
          <w:color w:val="555555"/>
          <w:sz w:val="18"/>
        </w:rPr>
        <w:t xml:space="preserve">Datenverordnung-Anwendungs-und-Durchsetzungs-Gesetz</w:t>
      </w:r>
    </w:p>
    <w:p>
      <w:r>
        <w:rPr>
          <w:color w:val="555555"/>
          <w:sz w:val="18"/>
        </w:rPr>
        <w:t xml:space="preserve">Stand: 30.05.2026 (konsolidierte Textfassung, kein amtliches Inkrafttretensdatum)</w:t>
      </w:r>
    </w:p>
    <w:p>
      <w:r>
        <w:t xml:space="preserve">Dieses Gesetz regelt die Durchführung der Verordnung (EU) 2023/2854 (Datenverordnung).</w:t>
      </w:r>
    </w:p>
    <w:p>
      <w:r>
        <w:rPr>
          <w:color w:val="555555"/>
          <w:sz w:val="17"/>
        </w:rPr>
        <w:t xml:space="preserve">Zitiervorschlag: § 1 DADG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https://recht.nulegal.eu/gesetze/DADG/1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