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DüngMSaatG</w:t>
      </w:r>
    </w:p>
    <w:p>
      <w:r>
        <w:rPr>
          <w:color w:val="555555"/>
          <w:sz w:val="18"/>
        </w:rPr>
        <w:t xml:space="preserve">Gesetz zur Sicherung der Düngemittel- und Saatgutversorgung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der §§ 18 und 19a der Verordnung über Maßnahmen auf dem Gebiete der Zwangsvollstreckung vom 26. Mai 1933 (Reichsgesetzbl. I S. 302) in der Fassung des Gesetzes zur Änderung der Vorschriften über die Zwangsvollstreckung vom 24. Oktober 1934 (Reichsgesetzbl. I S. 1070) sind auf die Zwangsvollstreckung wegen Forderungen der in § 1 bezeichneten Art in die dem Pfandrecht unterliegenden Früchte nicht anzuwenden.</w:t>
      </w:r>
    </w:p>
    <w:p>
      <w:r>
        <w:rPr>
          <w:color w:val="555555"/>
          <w:sz w:val="17"/>
        </w:rPr>
        <w:t xml:space="preserve">Zitiervorschlag: § 5 DüngMSaatG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https://recht.nulegal.eu/gesetze/D%C3%BCngMSaatG/5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