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DüngMProbV — Anzahl und Umfang der erforderlichen Endproben</w:t>
      </w:r>
    </w:p>
    <w:p>
      <w:r>
        <w:rPr>
          <w:color w:val="555555"/>
          <w:sz w:val="18"/>
        </w:rPr>
        <w:t xml:space="preserve">Düngemittel-Probenahme- und Analyseverordnung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Aus jeder Sammelprobe sind, gegebenenfalls nach Bildung einer reduzierten Sammelprobe, mindestens drei Endproben zu bilden.</w:t>
      </w:r>
    </w:p>
    <w:p>
      <w:r>
        <w:t xml:space="preserve">(2) Die Menge einer Endprobe darf</w:t>
      </w:r>
    </w:p>
    <w:p>
      <w:pPr>
        <w:ind w:left="420"/>
      </w:pPr>
      <w:r>
        <w:t xml:space="preserve">1. 500 Gramm für feste oder 500 Milliliter für flüssige Stoffe, die nicht unter Nummer 2 fallen,</w:t>
      </w:r>
    </w:p>
    <w:p>
      <w:pPr>
        <w:ind w:left="420"/>
      </w:pPr>
      <w:r>
        <w:t xml:space="preserve">2. bei Wirtschaftsdüngern, Düngemitteln nach Anlage 1 Abschnitt 3 der Düngemittelverordnung, Bodenhilfsstoffen, Kultursubstraten und Pflanzenhilfsmitteln drei Kilogramm für feste oder drei Liter für flüssige Stoffe</w:t>
      </w:r>
    </w:p>
    <w:p>
      <w:r>
        <w:t xml:space="preserve">nicht unterschreiten. Bei verpackten Stoffen mit einem Packungsinhalt von bis zu 250 Gramm oder 250 Milliliter darf die Menge einer Endprobe den Inhalt von zwei Originalpackungen nicht unterschreiten.</w:t>
      </w:r>
    </w:p>
    <w:p>
      <w:r>
        <w:t xml:space="preserve">(3) Bei Endproben von Ammoniumnitrat-Einnährstoffdünger mit hohem Stickstoffgehalt zur Prüfung der Anforderungen nach der Gefahrstoffverordnung darf die Menge ein Kilogramm, für die Prüfung der Detonationsfähigkeit 25 Kilogramm nicht unterschreiten.</w:t>
      </w:r>
    </w:p>
    <w:p>
      <w:r>
        <w:rPr>
          <w:color w:val="555555"/>
          <w:sz w:val="17"/>
        </w:rPr>
        <w:t xml:space="preserve">Zitiervorschlag: § 7 DüngMProbV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https://recht.nulegal.eu/gesetze/D%C3%BCngMProbV/7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