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DüngMProbV — Probenahmegeräte</w:t>
      </w:r>
    </w:p>
    <w:p>
      <w:r>
        <w:rPr>
          <w:color w:val="555555"/>
          <w:sz w:val="18"/>
        </w:rPr>
        <w:t xml:space="preserve">Düngemittel-Probenahme- und Analyseverordnung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Probenahmegeräte und die Probenbehältnisse müssen aus einem Material bestehen, das die beprobten Stoffe nicht beeinflusst.</w:t>
      </w:r>
    </w:p>
    <w:p>
      <w:r>
        <w:t xml:space="preserve">(2) Probenahmegeräte und Hilfsmittel sind an die Partiegröße, den Aggregatzustand sowie die Teilchengröße und Beschaffenheit der Stoffe anzupassen.</w:t>
      </w:r>
    </w:p>
    <w:p>
      <w:r>
        <w:t xml:space="preserve">(3) Im Falle der Prüfung mikrobiologischer Anforderungen sind alle Probenahmegeräte und Probenbehältnisse vor Gebrauch zu sterilisieren oder zu desinfizieren, soweit dies erforderlich ist, um eine ordnungsgemäße Analyse zu gewährleisten.</w:t>
      </w:r>
    </w:p>
    <w:p>
      <w:r>
        <w:rPr>
          <w:color w:val="555555"/>
          <w:sz w:val="17"/>
        </w:rPr>
        <w:t xml:space="preserve">Zitiervorschlag: § 3 DüngMProbV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https://recht.nulegal.eu/gesetze/D%C3%BCngMProbV/3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