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DüngMProbV — Analysemethoden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amtlichen Untersuchung von Ammoniumnitrat - Einnährstoffdünger mit hohem Stickstoffgehalt zur Prüfung der Anforderungen nach der Gefahrstoffverordnung sind die in Anhang III der Verordnung (EG) Nr. 2003/2003 des Europäischen Parlaments und des Rates vom 13. Oktober 2003 über Düngemittel (ABl. EU Nr. L 304 S. 1) beschriebenen Methoden anzuwenden.</w:t>
      </w:r>
    </w:p>
    <w:p>
      <w:r>
        <w:t xml:space="preserve">(2) Bei der amtlichen Untersuchung von Stoffen, die nicht unter Absatz 1 fallen, sind für das Untersuchungsziel geeignete Methoden nach dem Handbuch des Verbandes Deutscher Landwirtschaftlicher Untersuchungs- und Forschungsanstalten,</w:t>
      </w:r>
    </w:p>
    <w:p>
      <w:pPr>
        <w:ind w:left="420"/>
      </w:pPr>
      <w:r>
        <w:t xml:space="preserve">1. für die Untersuchung von Düngemitteln Methodenbuch Band II. 1 mit 1. Ergänzungslieferung 1999 und 2. Ergänzungslieferung 2004 und</w:t>
      </w:r>
    </w:p>
    <w:p>
      <w:pPr>
        <w:ind w:left="420"/>
      </w:pPr>
      <w:r>
        <w:t xml:space="preserve">2. für die Untersuchung von Sekundärrohstoffdüngern, Kultursubstraten und Bodenhilfsstoffen Methodenbuch Band II. 2, 1. Auflage 2000,</w:t>
      </w:r>
    </w:p>
    <w:p>
      <w:r>
        <w:t xml:space="preserve">jeweils VDLUFA Verlag Darmstadt, anzuwenden. Soweit dort keine geeigneten Methoden vorliegen, sind</w:t>
      </w:r>
    </w:p>
    <w:p>
      <w:pPr>
        <w:ind w:left="420"/>
      </w:pPr>
      <w:r>
        <w:t xml:space="preserve">1. solche nach dem Methodenbuch zur Analyse von Kompost der Bundesgütegemeinschaft Kompost e. V., 4. Auflage, Juli 1998, Verlag Abfall Now e. V., Stuttgart, ISBN 3-928179-32-2,</w:t>
      </w:r>
    </w:p>
    <w:p>
      <w:pPr>
        <w:ind w:left="420"/>
      </w:pPr>
      <w:r>
        <w:t xml:space="preserve">2. solche des Deutschen Instituts für Normung, soweit sie in der Anlage aufgeführt sind, oder anderenfalls</w:t>
      </w:r>
    </w:p>
    <w:p>
      <w:pPr>
        <w:ind w:left="420"/>
      </w:pPr>
      <w:r>
        <w:t xml:space="preserve">3. andere wissenschaftlich anerkannte Methoden</w:t>
      </w:r>
    </w:p>
    <w:p>
      <w:r>
        <w:t xml:space="preserve">anzuwenden.</w:t>
      </w:r>
    </w:p>
    <w:p>
      <w:r>
        <w:t xml:space="preserve">(3) Die jeweils angewendete Prüfmethode ist im Prüfbericht anzugeben.</w:t>
      </w:r>
    </w:p>
    <w:p>
      <w:r>
        <w:rPr>
          <w:color w:val="555555"/>
          <w:sz w:val="17"/>
        </w:rPr>
        <w:t xml:space="preserve">Zitiervorschlag: § 12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