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DüngG — Toleranzen</w:t>
      </w:r>
    </w:p>
    <w:p>
      <w:r>
        <w:rPr>
          <w:color w:val="555555"/>
          <w:sz w:val="18"/>
        </w:rPr>
        <w:t xml:space="preserve">Düngegesetz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Bundesministerium wird ermächtigt, durch Rechtsverordnung mit Zustimmung des Bundesrates duldbare Abweichungen (Toleranzen) der bei der Überwachung festgestellten Gehalte von den durch Rechtsverordnung nach § 7 vorgeschriebenen oder im Rahmen der vorgeschriebenen Kennzeichnung zulässigen Angaben festzusetzen, um unvermeidbare Unsicherheiten bei der Herstellung, der Probenahme und der Analyse aufzufangen.</w:t>
      </w:r>
    </w:p>
    <w:p>
      <w:r>
        <w:t xml:space="preserve">(2) Die Toleranzen dürfen nicht planmäßig ausgenutzt werden.</w:t>
      </w:r>
    </w:p>
    <w:p>
      <w:r>
        <w:rPr>
          <w:color w:val="555555"/>
          <w:sz w:val="17"/>
        </w:rPr>
        <w:t xml:space="preserve">Zitiervorschlag: § 8 DüngG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https://recht.nulegal.eu/gesetze/D%C3%BCngG/8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