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DüngG — EG-Düngemittel</w:t>
      </w:r>
    </w:p>
    <w:p>
      <w:r>
        <w:rPr>
          <w:color w:val="555555"/>
          <w:sz w:val="18"/>
        </w:rPr>
        <w:t xml:space="preserve">Düngegesetz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Düngemittel dürfen mit der Bezeichnung „EG-Düngemittel“ nur in den Verkehr gebracht werden, wenn sie einem Düngemitteltyp entsprechen, der im Anhang I der Verordnung (EG) Nr. 2003/2003 des Europäischen Parlaments und des Rates vom 13. Oktober 2003 über Düngemittel (ABl. EU Nr. L 304 S. 1), die zuletzt durch die Verordnung (EG) Nr. 162/2007 der Kommission vom 19. Februar 2007 (ABl. EU Nr. L 51 S. 7) geändert worden ist, festgelegt worden ist.</w:t>
      </w:r>
    </w:p>
    <w:p>
      <w:r>
        <w:rPr>
          <w:color w:val="555555"/>
          <w:sz w:val="17"/>
        </w:rPr>
        <w:t xml:space="preserve">Zitiervorschlag: § 6 DüngG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https://recht.nulegal.eu/gesetze/D%C3%BCngG/6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