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DüngG — Mitwirkungshandlungen</w:t>
      </w:r>
    </w:p>
    <w:p>
      <w:r>
        <w:rPr>
          <w:color w:val="555555"/>
          <w:sz w:val="18"/>
        </w:rPr>
        <w:t xml:space="preserve">Düngegesetz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wird ermächtigt, durch Rechtsverordnung mit Zustimmung des Bundesrates Vorschriften zu erlassen über Aufzeichnungs-, Melde-, Mitteilungs- oder Aufbewahrungspflichten bezüglich des Inverkehrbringens einschließlich des Vermittelns sowie des Herstellens, des Beförderns, der Übernahme oder des Lagerns von Stoffen nach § 2 Nr. 1 und 6 bis 8, soweit dies erforderlich ist, um die Einhaltung des § 3 Absatz 1, 2 und 3, auch in Verbindung mit einer Rechtsverordnung nach Absatz 4 auch in Verbindung mit Absatz 5, sicherzustellen.</w:t>
      </w:r>
    </w:p>
    <w:p>
      <w:r>
        <w:rPr>
          <w:color w:val="555555"/>
          <w:sz w:val="17"/>
        </w:rPr>
        <w:t xml:space="preserve">Zitiervorschlag: § 4 DüngG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