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DüngG — Ermächtigung zur Aufhebung von Rechtsvorschriften</w:t>
      </w:r>
    </w:p>
    <w:p>
      <w:r>
        <w:rPr>
          <w:color w:val="555555"/>
          <w:sz w:val="18"/>
        </w:rPr>
        <w:t xml:space="preserve">Düngegesetz</w:t>
      </w:r>
    </w:p>
    <w:p>
      <w:r>
        <w:rPr>
          <w:color w:val="555555"/>
          <w:sz w:val="18"/>
        </w:rPr>
        <w:t xml:space="preserve">Stand: 10.06.2019 (konsolidierte Textfassung, kein amtliches Inkrafttretensdatum)</w:t>
      </w:r>
    </w:p>
    <w:p>
      <w:r>
        <w:t xml:space="preserve">Soweit durch Änderungen dieses Gesetzes Ermächtigungen zum Erlass von Rechtsverordnungen des Bundes fortgefallen sind, können Vorschriften, die auf solche Ermächtigungen gestützt sind, durch Rechtsverordnung des Bundesministeriums ohne Zustimmung des Bundesrates aufgehoben werden.</w:t>
      </w:r>
    </w:p>
    <w:p>
      <w:r>
        <w:rPr>
          <w:color w:val="555555"/>
          <w:sz w:val="17"/>
        </w:rPr>
        <w:t xml:space="preserve">Zitiervorschlag: § 16 DüngG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https://recht.nulegal.eu/gesetze/D%C3%BCngG/16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