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13a DüngG — Qualitätssicherung im Bereich von Wirtschaftsdüngern</w:t>
      </w:r>
    </w:p>
    <w:p>
      <w:r>
        <w:rPr>
          <w:color w:val="555555"/>
          <w:sz w:val="18"/>
        </w:rPr>
        <w:t xml:space="preserve">Düngegesetz</w:t>
      </w:r>
    </w:p>
    <w:p>
      <w:r>
        <w:rPr>
          <w:color w:val="555555"/>
          <w:sz w:val="18"/>
        </w:rPr>
        <w:t xml:space="preserve">Stand: 01.01.2024 (konsolidierte Textfassung, kein amtliches Inkrafttretensdatum)</w:t>
      </w:r>
    </w:p>
    <w:p>
      <w:r>
        <w:t xml:space="preserve">(1) Zur Förderung der Einhaltung der Vorschriften dieses Gesetzes und der auf Grund dieses Gesetzes erlassenen Rechtsverordnungen, die für die Anwendung, das Inverkehrbringen, das Herstellen, das Befördern, die Übernahme oder das Lagern von Wirtschaftsdüngern sowie von Düngemitteln, die als Ausgangsstoff oder Bestandteil Wirtschaftsdünger enthalten, gelten, können Träger einer Qualitätssicherung eine regelmäßige Qualitätssicherung nach Maßgabe der folgenden Vorschriften für die genannten Düngemittel einrichten.</w:t>
      </w:r>
    </w:p>
    <w:p>
      <w:r>
        <w:t xml:space="preserve">(2) Träger einer Qualitätssicherung ist eine juristische Person oder rechtsfähige Personengesellschaft des Privatrechts, deren Mitglieder, Gesellschafter oder Anteilseigner</w:t>
      </w:r>
    </w:p>
    <w:p>
      <w:pPr>
        <w:ind w:left="420"/>
      </w:pPr>
      <w:r>
        <w:t xml:space="preserve">1. natürliche oder juristische Personen oder rechtsfähige Personengesellschaften, die die in Absatz 1 genannten Stoffe anwenden, in Verkehr bringen, herstellen, befördern, übernehmen oder lagern, sowie</w:t>
      </w:r>
    </w:p>
    <w:p>
      <w:pPr>
        <w:ind w:left="420"/>
      </w:pPr>
      <w:r>
        <w:t xml:space="preserve">2. Fachverbände oder fachkundige Einrichtungen, Institutionen oder Personen</w:t>
      </w:r>
    </w:p>
    <w:p>
      <w:r>
        <w:t xml:space="preserve">sind.</w:t>
      </w:r>
    </w:p>
    <w:p>
      <w:r>
        <w:t xml:space="preserve">(3) Qualitätszeichennehmer ist eine natürliche oder juristische Person oder rechtsfähige Personengesellschaft des Privatrechts, die gewerbsmäßig oder im Rahmen wirtschaftlicher Unternehmen die in Absatz 1 genannten Stoffe anwendet, in Verkehr bringt, herstellt, befördert, übernimmt oder lagert und über das Recht verfügt, ein Qualitätszeichen eines Trägers der Qualitätssicherung zu verwenden.</w:t>
      </w:r>
    </w:p>
    <w:p>
      <w:r>
        <w:t xml:space="preserve">(4) Der Träger der Qualitätssicherung bedarf der Anerkennung der zuständigen Behörde. Die Anerkennung ist zu erteilen, wenn der Träger</w:t>
      </w:r>
    </w:p>
    <w:p>
      <w:pPr>
        <w:ind w:left="420"/>
      </w:pPr>
      <w:r>
        <w:t xml:space="preserve">1. eine für die Leitung und Beaufsichtigung des Trägers verantwortliche Person benannt hat und deren Vertretungsbefugnis nachweist,</w:t>
      </w:r>
    </w:p>
    <w:p>
      <w:pPr>
        <w:ind w:left="420"/>
      </w:pPr>
      <w:r>
        <w:t xml:space="preserve">2. nachweist, dass eine technische Leitung und eine Stellvertretung bestellt sind,</w:t>
      </w:r>
    </w:p>
    <w:p>
      <w:pPr>
        <w:ind w:left="420"/>
      </w:pPr>
      <w:r>
        <w:t xml:space="preserve">3. nachweist, dass das in den Nummern 1 und 2 genannte Personal sowie das sonstige Personal über die für seine Tätigkeit erforderliche Zuverlässigkeit und Fach- und Sachkunde verfügt und von zu prüfenden Qualitätszeichennehmern, von Mitgliedern, Gesellschaftern oder Anteilseignern des Trägers der Qualitätssicherung sowie von Untersuchungsstellen unabhängig ist,</w:t>
      </w:r>
    </w:p>
    <w:p>
      <w:pPr>
        <w:ind w:left="420"/>
      </w:pPr>
      <w:r>
        <w:t xml:space="preserve">4. nachweist, dass eine ausreichende Anzahl von Sachverständigen für die Überwachung der Qualitätszeichennehmer bestellt ist,</w:t>
      </w:r>
    </w:p>
    <w:p>
      <w:pPr>
        <w:ind w:left="420"/>
      </w:pPr>
      <w:r>
        <w:t xml:space="preserve">5. Informationen über die Strategie, die Planung und die Umsetzung der Qualitätssicherung einschließlich der für die Organisation gültigen und verbindlichen Regelungen vorgelegt hat und</w:t>
      </w:r>
    </w:p>
    <w:p>
      <w:pPr>
        <w:ind w:left="420"/>
      </w:pPr>
      <w:r>
        <w:t xml:space="preserve">6. die erforderlichen Maßnahmen einschließlich des befristeten oder endgültigen Entzugs des Rechts zur Verwendung des Qualitätszeichens festgelegt hat, um die Einhaltung der Anforderungen für die Erteilung des Qualitätszeichens durch den Qualitätszeichennehmer sicherzustellen.</w:t>
      </w:r>
    </w:p>
    <w:p>
      <w:r>
        <w:t xml:space="preserve">(5) Der Träger der Qualitätssicherung hat die Voraussetzungen für die Verwendung des Qualitätszeichens durch einen Qualitätszeichennehmer und die Überwachung dessen Verwendung nach Maßgabe des Absatzes 6 Nummer 2 bis 4 und des Absatzes 7 so zu bestimmen, dass sie für jeden Qualitätszeichennehmer, der das Qualitätszeichen des Trägers der Qualitätssicherung verwenden will, verbindlich sind.</w:t>
      </w:r>
    </w:p>
    <w:p>
      <w:r>
        <w:t xml:space="preserve">(6) Das Qualitätszeichen darf nur erteilt werden, wenn der Qualitätszeichennehmer</w:t>
      </w:r>
    </w:p>
    <w:p>
      <w:pPr>
        <w:ind w:left="420"/>
      </w:pPr>
      <w:r>
        <w:t xml:space="preserve">1. die Anforderungen nach den in Absatz 1 genannten Vorschriften erfüllt,</w:t>
      </w:r>
    </w:p>
    <w:p>
      <w:pPr>
        <w:ind w:left="420"/>
      </w:pPr>
      <w:r>
        <w:t xml:space="preserve">2. die Anforderungen des Trägers der Qualitätssicherung an Nachweispflichten und Analyseverfahren erfüllt,</w:t>
      </w:r>
    </w:p>
    <w:p>
      <w:pPr>
        <w:ind w:left="420"/>
      </w:pPr>
      <w:r>
        <w:t xml:space="preserve">3. die erforderlichen Anforderungen an die Organisation, die personelle, gerätetechnische und sonstige Ausstattung sowie an die Zuverlässigkeit und Fach- und Sachkunde ihres Personals erfüllt,</w:t>
      </w:r>
    </w:p>
    <w:p>
      <w:pPr>
        <w:ind w:left="420"/>
      </w:pPr>
      <w:r>
        <w:t xml:space="preserve">4. sich verpflichtet, die Erfüllung der Anforderungen nach den Nummern 1 bis 3 im Rahmen einer fortlaufenden Überwachung gegenüber dem Träger des Qualitätszeichens darzulegen.</w:t>
      </w:r>
    </w:p>
    <w:p>
      <w:r>
        <w:t xml:space="preserve">(7) Der Träger der Qualitätssicherung darf sich für die Überwachung der Qualitätszeichennehmer nur solcher Sachverständiger und Untersuchungsstellen bedienen, die die für die Durchführung der Überwachung erforderliche Zuverlässigkeit, Unabhängigkeit sowie Fach- und Sachkunde besitzen.</w:t>
      </w:r>
    </w:p>
    <w:p>
      <w:r>
        <w:t xml:space="preserve">(8) Ein Qualitätszeichen darf von einem Qualitätszeichennehmer nur geführt werden, solange und soweit ihm vom Träger der Qualitätssicherung das Recht zur Verwendung erteilt ist.</w:t>
      </w:r>
    </w:p>
    <w:p>
      <w:r>
        <w:t xml:space="preserve">(9) Das Bundesministerium wird ermächtigt, durch Rechtsverordnung mit Zustimmung des Bundesrates, soweit dies zur in Absatz 1 genannten Förderung durch eine Qualitätssicherung erforderlich ist, Regelungen zu erlassen über</w:t>
      </w:r>
    </w:p>
    <w:p>
      <w:pPr>
        <w:ind w:left="420"/>
      </w:pPr>
      <w:r>
        <w:t xml:space="preserve">1. Anforderungen an die Maßnahmen zur Qualitätssicherung einschließlich deren Umfang,</w:t>
      </w:r>
    </w:p>
    <w:p>
      <w:pPr>
        <w:ind w:left="420"/>
      </w:pPr>
      <w:r>
        <w:t xml:space="preserve">2. Anforderungen an die Organisation, die personelle, gerätetechnische und sonstige Ausstattung des Qualitätszeichennehmers,</w:t>
      </w:r>
    </w:p>
    <w:p>
      <w:pPr>
        <w:ind w:left="420"/>
      </w:pPr>
      <w:r>
        <w:t xml:space="preserve">3. Anforderungen an den Qualitätszeichennehmer und die bei ihm beschäftigten Personen, insbesondere Mindestanforderungen an die Fach- und Sachkunde und die Zuverlässigkeit sowie an deren Nachweis,</w:t>
      </w:r>
    </w:p>
    <w:p>
      <w:pPr>
        <w:ind w:left="420"/>
      </w:pPr>
      <w:r>
        <w:t xml:space="preserve">4. Anforderungen an die Tätigkeit der Träger der Qualitätssicherung, insbesondere an deren Bildung, Auflösung, Organisation und Arbeitsweise einschließlich der Bestellung, Aufgaben und Befugnisse der Prüforgane sowie Mindestanforderungen an die Mitglieder dieser Prüforgane,</w:t>
      </w:r>
    </w:p>
    <w:p>
      <w:pPr>
        <w:ind w:left="420"/>
      </w:pPr>
      <w:r>
        <w:t xml:space="preserve">5. Mindestanforderungen an die für die Träger der Qualitätssicherung tätigen Sachverständigen sowie deren Bestellung, Tätigkeit und Kontrolle,</w:t>
      </w:r>
    </w:p>
    <w:p>
      <w:pPr>
        <w:ind w:left="420"/>
      </w:pPr>
      <w:r>
        <w:t xml:space="preserve">6. Anforderungen an das Qualitätszeichen, insbesondere an die Form und den Inhalt sowie an seine Erteilung, seine Aufhebung, sein Erlöschen und seinen Entzug durch den Träger des Qualitätszeichens oder durch die zuständige Behörde,</w:t>
      </w:r>
    </w:p>
    <w:p>
      <w:pPr>
        <w:ind w:left="420"/>
      </w:pPr>
      <w:r>
        <w:t xml:space="preserve">7. die besonderen Voraussetzungen, das Verfahren, die Erteilung und die Aufhebung der Anerkennung sowie die Überwachung des Trägers der Qualitätssicherung durch die zuständige Behörde,</w:t>
      </w:r>
    </w:p>
    <w:p>
      <w:pPr>
        <w:ind w:left="420"/>
      </w:pPr>
      <w:r>
        <w:t xml:space="preserve">8. die Pflicht, die erforderlichen Erklärungen, Nachweise, Benachrichtigungen oder sonstigen Daten elektronisch zu führen und Dokumente in elektronischer Form gemäß § 3a Absatz 2 Satz 2 und 3 des Verwaltungsverfahrensgesetzes vorzulegen.</w:t>
      </w:r>
    </w:p>
    <w:p>
      <w:r>
        <w:t xml:space="preserve">(10) Die Landesregierungen können Rechtsverordnungen nach Absatz 9 erlassen, soweit das Bundesministerium von seiner Ermächtigung keinen Gebrauch macht. Die Landesregierungen können die Ermächtigungen nach Satz 1 durch Rechtsverordnung ganz oder teilweise auf andere Behörden übertragen.</w:t>
      </w:r>
    </w:p>
    <w:p>
      <w:r>
        <w:rPr>
          <w:color w:val="555555"/>
          <w:sz w:val="17"/>
        </w:rPr>
        <w:t xml:space="preserve">Zitiervorschlag: § 13a DüngG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https://recht.nulegal.eu/gesetze/D%C3%BCngG/13a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13a DüngG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