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DüngG — Behördliche Anordnungen</w:t>
      </w:r>
    </w:p>
    <w:p>
      <w:r>
        <w:rPr>
          <w:color w:val="555555"/>
          <w:sz w:val="18"/>
        </w:rPr>
        <w:t xml:space="preserve">Düngegesetz</w:t>
      </w:r>
    </w:p>
    <w:p>
      <w:r>
        <w:rPr>
          <w:color w:val="555555"/>
          <w:sz w:val="18"/>
        </w:rPr>
        <w:t xml:space="preserve">Stand: 10.06.2019 (konsolidierte Textfassung, kein amtliches Inkrafttretensdatum)</w:t>
      </w:r>
    </w:p>
    <w:p>
      <w:r>
        <w:t xml:space="preserve">Die zuständige Behörde kann die zur Beseitigung festgestellter Verstöße und die zur Vermeidung künftiger Verstöße gegen dieses Gesetz und die auf Grund dieses Gesetzes erlassenen Rechtsverordnungen sowie gegen unmittelbar geltende Rechtsakte der Europäischen Gemeinschaft oder der Europäischen Union im Bereich des Düngemittelrechts notwendigen Anordnungen treffen. Sie kann insbesondere</w:t>
      </w:r>
    </w:p>
    <w:p>
      <w:pPr>
        <w:ind w:left="420"/>
      </w:pPr>
      <w:r>
        <w:t xml:space="preserve">1. die Einstellung von Düngemaßnahmen anordnen, die gegen § 3 Absatz 1, 2 oder 3, auch in Verbindung mit einer Rechtsverordnung nach Absatz 4 auch in Verbindung mit Absatz 5, verstoßen,</w:t>
      </w:r>
    </w:p>
    <w:p>
      <w:pPr>
        <w:ind w:left="420"/>
      </w:pPr>
      <w:r>
        <w:t xml:space="preserve">2. die Einstellung des Inverkehrbringens von Düngemittelpartien anordnen, die entgegen § 5 Abs. 1 oder § 6 oder entgegen einer auf Grund des § 5 Abs. 2 erlassenen Rechtsverordnung in den Verkehr gebracht werden,</w:t>
      </w:r>
    </w:p>
    <w:p>
      <w:pPr>
        <w:ind w:left="420"/>
      </w:pPr>
      <w:r>
        <w:t xml:space="preserve">3. vorübergehend verbieten, dass ein Stoff nach § 2 Nr. 1 oder 6 bis 8 in den Verkehr gebracht oder angewendet wird, bis das Ergebnis der Untersuchung einer entnommenen Probe vorliegt,</w:t>
      </w:r>
    </w:p>
    <w:p>
      <w:pPr>
        <w:ind w:left="420"/>
      </w:pPr>
      <w:r>
        <w:t xml:space="preserve">4. eine Maßnahme überwachen oder, falls erforderlich, anordnen, mit der verhindert werden soll, dass ein Stoff nach § 2 Nr. 1 oder 6 bis 8, der den Verbraucher noch nicht erreicht hat, auch durch andere Wirtschaftsbeteiligte weiter in den Verkehr gebracht wird (Rücknahme), oder die auf die Rückgabe eines in den Verkehr gebrachten Stoffes nach § 2 Nr. 1 oder 6 bis 8 abzielt, der den Verbraucher oder den Verwender bereits erreicht hat oder erreicht haben könnte (Rückruf).</w:t>
      </w:r>
    </w:p>
    <w:p>
      <w:r>
        <w:t xml:space="preserve">Abweichend von Satz 1 kann die zuständige Behörde Anordnungen zum Umgang mit Nährstoffen im Betrieb im Sinne des § 11a Absatz 1 nur treffen, wenn die Anforderungen der guten fachlichen Praxis beim Umgang mit Nährstoffen im Betrieb in einer Rechtsverordnung nach § 11a Absatz 2 näher bestimmt sind.</w:t>
      </w:r>
    </w:p>
    <w:p>
      <w:r>
        <w:rPr>
          <w:color w:val="555555"/>
          <w:sz w:val="17"/>
        </w:rPr>
        <w:t xml:space="preserve">Zitiervorschlag: § 13 DüngG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