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DüngG — Klärschlamm-Entschädigungsfonds</w:t>
      </w:r>
    </w:p>
    <w:p>
      <w:r>
        <w:rPr>
          <w:color w:val="555555"/>
          <w:sz w:val="18"/>
        </w:rPr>
        <w:t xml:space="preserve">Düngegesetz</w:t>
      </w:r>
    </w:p>
    <w:p>
      <w:r>
        <w:rPr>
          <w:color w:val="555555"/>
          <w:sz w:val="18"/>
        </w:rPr>
        <w:t xml:space="preserve">Stand: 12.08.2020 (konsolidierte Textfassung, kein amtliches Inkrafttretensdatum)</w:t>
      </w:r>
    </w:p>
    <w:p>
      <w:r>
        <w:t xml:space="preserve">(1) Der durch Artikel 4 Nr. 8 des Gesetzes vom 27. September 1994 (BGBl. I S. 2705) errichtete Entschädigungsfonds hat die durch die landwirtschaftliche Verwertung von Klärschlämmen entstehenden Schäden an Personen und Sachen sowie sich daraus ergebende Folgeschäden zu ersetzen.</w:t>
      </w:r>
    </w:p>
    <w:p>
      <w:r>
        <w:t xml:space="preserve">(2) Die Beiträge zu diesem Fonds sind von allen Herstellern von Klärschlämmen zu leisten, soweit diese den Klärschlamm zur landwirtschaftlichen Verwertung abgeben. Bei der Verbringung von Klärschlamm in den Geltungsbereich dieses Gesetzes sind die Beiträge vom Besitzer des Klärschlamms zu leisten, der den Klärschlamm in den Geltungsbereich dieses Gesetzes verbringt oder verbringen lässt, soweit er den Klärschlamm zur landwirtschaftlichen Verwertung abgibt.</w:t>
      </w:r>
    </w:p>
    <w:p>
      <w:r>
        <w:t xml:space="preserve">(3) Das Bundesministerium wird ermächtigt, im Einvernehmen mit dem Bundesministerium für Umwelt, Naturschutz und nukleare Sicherheit und dem Bundesministerium für Wirtschaft und Energie durch Rechtsverordnung mit Zustimmung des Bundesrates Vorschriften zu erlassen über</w:t>
      </w:r>
    </w:p>
    <w:p>
      <w:pPr>
        <w:ind w:left="420"/>
      </w:pPr>
      <w:r>
        <w:t xml:space="preserve">1. die Rechtsform des Entschädigungsfonds,</w:t>
      </w:r>
    </w:p>
    <w:p>
      <w:pPr>
        <w:ind w:left="420"/>
      </w:pPr>
      <w:r>
        <w:t xml:space="preserve">2. die Bildung und die weitere Ausgestaltung des Entschädigungsfonds einschließlich der erforderlichen finanziellen Ausstattung bis zu einer Höhe von 125 Millionen Euro,</w:t>
      </w:r>
    </w:p>
    <w:p>
      <w:pPr>
        <w:ind w:left="420"/>
      </w:pPr>
      <w:r>
        <w:t xml:space="preserve">3. die Verwaltung des Entschädigungsfonds,</w:t>
      </w:r>
    </w:p>
    <w:p>
      <w:pPr>
        <w:ind w:left="420"/>
      </w:pPr>
      <w:r>
        <w:t xml:space="preserve">4. die Höhe und die Festlegung der Beiträge und die Art ihrer Aufbringung unter Berücksichtigung der Art und Menge des abgegebenen Klärschlamms sowie eine Nachschusspflicht im Falle der Erschöpfung der in Nummer 2 vorgesehenen finanziellen Ausstattung,</w:t>
      </w:r>
    </w:p>
    <w:p>
      <w:pPr>
        <w:ind w:left="420"/>
      </w:pPr>
      <w:r>
        <w:t xml:space="preserve">5. einen angemessenen Selbstbehalt für Sachschäden sowie einen angemessenen Entschädigungshöchstbetrag insbesondere unter Berücksichtigung des Umfanges der geschädigten Fläche,</w:t>
      </w:r>
    </w:p>
    <w:p>
      <w:pPr>
        <w:ind w:left="420"/>
      </w:pPr>
      <w:r>
        <w:t xml:space="preserve">6. den Übergang von Ansprüchen gegen sonstige Ersatzpflichtige auf den Entschädigungsfonds, soweit dieser die Ansprüche befriedigt hat, und deren Geltendmachung,</w:t>
      </w:r>
    </w:p>
    <w:p>
      <w:pPr>
        <w:ind w:left="420"/>
      </w:pPr>
      <w:r>
        <w:t xml:space="preserve">7. Verfahren und Befugnisse der für die Aufsicht des Entschädigungsfonds zuständigen Behörde,</w:t>
      </w:r>
    </w:p>
    <w:p>
      <w:pPr>
        <w:ind w:left="420"/>
      </w:pPr>
      <w:r>
        <w:t xml:space="preserve">8. die Rechte und Pflichten des Beitragspflichtigen gegenüber dem Entschädigungsfonds und der in Nummer 7 bezeichneten Behörde.</w:t>
      </w:r>
    </w:p>
    <w:p>
      <w:r>
        <w:t xml:space="preserve">(4) Eine Rechtsverordnung nach Absatz 3 ist dem Bundestag vor der Zuleitung an den Bundesrat zuzuleiten. Die Rechtsverordnung kann durch Beschluss des Bundestages geändert oder abgelehnt werden. Der Beschluss des Bundestages wird der Bundesregierung zugeleitet. Hat sich der Bundestag nach Ablauf von drei Sitzungswochen seit Eingang der Rechtsverordnung nicht mit ihr befasst, so wird die unveränderte Rechtsverordnung dem Bundesrat zugeleitet. Soweit die Rechtsverordnung auf Grund des Beschlusses des Bundesrates geändert wird, bedarf es einer erneuten Zuleitung an den Bundestag nicht.</w:t>
      </w:r>
    </w:p>
    <w:p>
      <w:r>
        <w:rPr>
          <w:color w:val="555555"/>
          <w:sz w:val="17"/>
        </w:rPr>
        <w:t xml:space="preserve">Zitiervorschlag: § 11 DüngG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https://recht.nulegal.eu/gesetze/D%C3%BCngG/11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