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DünenSchV — Inkrafttreten, Außerkrafttreten</w:t>
      </w:r>
    </w:p>
    <w:p>
      <w:r>
        <w:rPr>
          <w:color w:val="555555"/>
          <w:sz w:val="18"/>
        </w:rPr>
        <w:t xml:space="preserve">Dünenschutzverordnung Wangerooge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tritt die Verordnung über den Schutz der Randdünen auf der Insel Wangerooge vom 27. Oktober 1972 (VkBl. 1972, 852) außer Kraft.</w:t>
      </w:r>
    </w:p>
    <w:p>
      <w:r>
        <w:rPr>
          <w:color w:val="555555"/>
          <w:sz w:val="17"/>
        </w:rPr>
        <w:t xml:space="preserve">Zitiervorschlag: § 7 DünenSchV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https://recht.nulegal.eu/gesetze/D%C3%BCnenSchV/7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