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DünenSchV — Ordnungswidrigkeiten</w:t>
      </w:r>
    </w:p>
    <w:p>
      <w:r>
        <w:rPr>
          <w:color w:val="555555"/>
          <w:sz w:val="18"/>
        </w:rPr>
        <w:t xml:space="preserve">Dünenschutzverordnung Wangerooge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50 Absatz 1 Nummer 2 des Bundeswasserstraßengesetzes handelt, wer vorsätzlich oder fahrlässig</w:t>
      </w:r>
    </w:p>
    <w:p>
      <w:pPr>
        <w:ind w:left="420"/>
      </w:pPr>
      <w:r>
        <w:t xml:space="preserve">1. entgegen § 1 Absatz 1 Nummer 1 eine Randdüne betritt,</w:t>
      </w:r>
    </w:p>
    <w:p>
      <w:pPr>
        <w:ind w:left="420"/>
      </w:pPr>
      <w:r>
        <w:t xml:space="preserve">2. entgegen § 1 Absatz 1 Nummer 3 ein dort genanntes Fahrzeug fährt,</w:t>
      </w:r>
    </w:p>
    <w:p>
      <w:pPr>
        <w:ind w:left="420"/>
      </w:pPr>
      <w:r>
        <w:t xml:space="preserve">3. entgegen § 1 Absatz 1 Nummer 6 ein Pferd reitet oder Vieh oder Geflügel frei herumlaufen oder weiden lässt,</w:t>
      </w:r>
    </w:p>
    <w:p>
      <w:pPr>
        <w:ind w:left="420"/>
      </w:pPr>
      <w:r>
        <w:t xml:space="preserve">4. entgegen § 1 Absatz 1 Nummer 8 spielt, zeltet oder lagert oder</w:t>
      </w:r>
    </w:p>
    <w:p>
      <w:pPr>
        <w:ind w:left="420"/>
      </w:pPr>
      <w:r>
        <w:t xml:space="preserve">5. entgegen § 2 Absatz 2 Satz 3 den Genehmigungsbescheid nicht mitführt oder nicht oder nicht rechtzeitig aushändigt.</w:t>
      </w:r>
    </w:p>
    <w:p>
      <w:r>
        <w:rPr>
          <w:color w:val="555555"/>
          <w:sz w:val="17"/>
        </w:rPr>
        <w:t xml:space="preserve">Zitiervorschlag: § 5 DünenSchV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https://recht.nulegal.eu/gesetze/D%C3%BCnenSchV/5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