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DüV 2017 — Ermittlung des Düngebedarfs an Stickstoff und Phosphat</w:t>
      </w:r>
    </w:p>
    <w:p>
      <w:r>
        <w:rPr>
          <w:color w:val="555555"/>
          <w:sz w:val="18"/>
        </w:rPr>
        <w:t xml:space="preserve">Düngeverordnung</w:t>
      </w:r>
    </w:p>
    <w:p>
      <w:r>
        <w:rPr>
          <w:color w:val="555555"/>
          <w:sz w:val="18"/>
        </w:rPr>
        <w:t xml:space="preserve">Stand: 05.05.2020 (konsolidierte Textfassung, kein amtliches Inkrafttretensdatum)</w:t>
      </w:r>
    </w:p>
    <w:p>
      <w:r>
        <w:t xml:space="preserve">(1) Der Stickstoffdüngebedarf ist im Falle von Ackerland als standortbezogene Obergrenze auf der Grundlage der nachfolgenden Bestimmungen und der Anlage 4 Tabelle 1 bis 7 zu ermitteln. Bei der Ermittlung sind die folgenden Einflüsse auf den zu ermittelnden Bedarf heranzuziehen:</w:t>
      </w:r>
    </w:p>
    <w:p>
      <w:pPr>
        <w:ind w:left="420"/>
      </w:pPr>
      <w:r>
        <w:t xml:space="preserve">1. die Stickstoffbedarfswerte nach Anlage 4 Tabelle 2 für die dort genannten Ackerkulturen; dabei sind die Stickstoffbedarfswerte nach Maßgabe der Anlage 4 Tabelle 3 anzupassen, wenn das tatsächliche Ertragsniveau der angebauten Kulturen im Durchschnitt der letzten fünf Jahre von dem Ertragsniveau nach Anlage 4 Tabelle 2 abweicht,</w:t>
      </w:r>
    </w:p>
    <w:p>
      <w:pPr>
        <w:ind w:left="420"/>
      </w:pPr>
      <w:r>
        <w:t xml:space="preserve">2. die Stickstoffbedarfswerte nach Anlage 4 Tabelle 4 für die dort genannten Gemüsekulturen; dabei sind die Stickstoffbedarfswerte nach Maßgabe der Anlage 4 Tabelle 5 anzupassen, wenn das tatsächliche Ertragsniveau der angebauten Kulturen im Durchschnitt der letzten fünf Jahre von dem Ertragsniveau nach Anlage 4 Tabelle 4 abweicht; wenn Kulturen zur Ernteverfrühung mit Folie oder Vlies abgedeckt werden, sind Zuschläge zu den Stickstoffbedarfswerten von höchstens 20 Kilogramm Stickstoff je Hektar zulässig; wenn auf nach § 3 Absatz 2 Satz 3 zusammengefassten Flächen verschiedene Kulturen angebaut werden, kann ein durchschnittlicher Stickstoffbedarfswert gebildet werden oder die Ermittlung für drei Gemüsekulturen mit unterschiedlichen Stickstoffbedarfswerten erfolgen,</w:t>
      </w:r>
    </w:p>
    <w:p>
      <w:pPr>
        <w:ind w:left="420"/>
      </w:pPr>
      <w:r>
        <w:t xml:space="preserve">3. die nach Absatz 4 ermittelte im Boden verfügbare Stickstoffmenge,</w:t>
      </w:r>
    </w:p>
    <w:p>
      <w:pPr>
        <w:ind w:left="420"/>
      </w:pPr>
      <w:r>
        <w:t xml:space="preserve">4. die während des Wachstums des jeweiligen Pflanzenbestandes als Ergebnis der Standortbedingungen, insbesondere des Klimas, der Bodenart und des Bodentyps zusätzlich pflanzenverfügbar werdenden Stickstoffmenge aus dem Bodenvorrat nach Anlage 4 Tabelle 6,</w:t>
      </w:r>
    </w:p>
    <w:p>
      <w:pPr>
        <w:ind w:left="420"/>
      </w:pPr>
      <w:r>
        <w:t xml:space="preserve">5. die Nachlieferung von Stickstoff aus der Anwendung von organischen oder organisch-mineralischen Düngemitteln zu den Vorkulturen des Vorjahres in Form eines Abschlags in Höhe von zehn vom Hundert der mit diesen Düngemitteln aufgebrachten Menge an Gesamtstickstoff, im Falle der Aufbringung von Kompost nach § 6 Absatz 4 Satz 2 für die drei Folgejahre in Form eines jährlichen Abschlags in Höhe von vier vom Hundert im ersten Folgejahr und danach in Höhe von jeweils drei vom Hundert der mit dem Kompost aufgebrachten Menge an Gesamtstickstoff,</w:t>
      </w:r>
    </w:p>
    <w:p>
      <w:pPr>
        <w:ind w:left="420"/>
      </w:pPr>
      <w:r>
        <w:t xml:space="preserve">6. die Nachlieferung von Stickstoff aus Vor- und Zwischenfrüchten während des Wachstums des jeweiligen Pflanzenbestandes nach Anlage 4 Tabelle 7 bei Acker- und Gemüsekulturen oder aus der Vorkultur im gleichen Jahr nach Anlage 4 Tabelle 4 Spalte 5 bei Gemüsekulturen,</w:t>
      </w:r>
    </w:p>
    <w:p>
      <w:pPr>
        <w:ind w:left="420"/>
      </w:pPr>
      <w:r>
        <w:t xml:space="preserve">7. die Menge an verfügbarem Stickstoff, die nach § 6 Absatz 9 Satz 1 Nummer 1 zu Winterraps oder Wintergerste ab dem Zeitpunkt, ab dem die Ernte der letzten Hauptfrucht abgeschlossen ist, bis zum Ablauf des 1. Oktober aufgebracht worden ist.</w:t>
      </w:r>
    </w:p>
    <w:p>
      <w:r>
        <w:t xml:space="preserve">Abweichend von den Sätzen 1 und 2 kann die nach Landesrecht zuständige Stelle andere Methoden oder Verfahren zur Ermittlung des Düngebedarfs zulassen, soweit sich daraus kein höherer Düngebedarf als nach der Ermittlung nach den Sätzen 1 und 2 ergibt. Im Falle von Kulturen, die nicht von Satz 1 in Verbindung mit Satz 2 erfasst sind, gelten für die Ermittlung des Stickstoffdüngebedarfs die Sätze 1 bis 3 entsprechend. Hierbei sind die von der nach Landesrecht zuständigen Stelle herausgegebenen Stickstoffbedarfswerte heranzuziehen.</w:t>
      </w:r>
    </w:p>
    <w:p>
      <w:r>
        <w:t xml:space="preserve">(2) Der Stickstoffdüngebedarf ist im Falle von Grünland, Dauergrünland und mehrschnittigem Feldfutterbau als standortbezogene Obergrenze auf der Grundlage der nachfolgenden Bestimmungen und der Anlage 4 Tabelle 8 bis 12 zu ermitteln. Bei der Ermittlung sind die folgenden Einflüsse auf den zu ermittelnden Bedarf heranzuziehen:</w:t>
      </w:r>
    </w:p>
    <w:p>
      <w:pPr>
        <w:ind w:left="420"/>
      </w:pPr>
      <w:r>
        <w:t xml:space="preserve">1. die Stickstoffbedarfswerte nach Anlage 4 Tabelle 9; dabei sind die Stickstoffbedarfswerte nach Maßgabe der Anlage 4 Tabelle 10 anzupassen, wenn das tatsächliche Ertragsniveau im Durchschnitt der letzten fünf Jahre von den Werten nach Anlage 4 Tabelle 9 abweicht; soweit der tatsächliche Rohproteingehalt im Durchschnitt der letzten fünf Jahre bekannt ist und von den Werten nach Anlage 4 Tabelle 9 abweicht, können die Stickstoffbedarfswerte zusätzlich nach Maßgabe der Anlage 4 Tabelle 10 in Abhängigkeit vom Rohproteingehalt angepasst werden,</w:t>
      </w:r>
    </w:p>
    <w:p>
      <w:pPr>
        <w:ind w:left="420"/>
      </w:pPr>
      <w:r>
        <w:t xml:space="preserve">2. die Stickstoffnachlieferung aus dem Bodenvorrat nach Anlage 4 Tabelle 11,</w:t>
      </w:r>
    </w:p>
    <w:p>
      <w:pPr>
        <w:ind w:left="420"/>
      </w:pPr>
      <w:r>
        <w:t xml:space="preserve">3. die Stickstoffnachlieferung aus der Stickstoffbindung von Leguminosen nach Anlage 4 Tabelle 12,</w:t>
      </w:r>
    </w:p>
    <w:p>
      <w:pPr>
        <w:ind w:left="420"/>
      </w:pPr>
      <w:r>
        <w:t xml:space="preserve">4. die Nachlieferung von Stickstoff aus der Anwendung von organischen oder organisch-mineralischen Düngemitteln im Vorjahr in Form eines Abschlags in Höhe von zehn vom Hundert der aufgebrachten Menge an Gesamtstickstoff.</w:t>
      </w:r>
    </w:p>
    <w:p>
      <w:r>
        <w:t xml:space="preserve">Absatz 1 Satz 3 gilt entsprechend.</w:t>
      </w:r>
    </w:p>
    <w:p>
      <w:r>
        <w:t xml:space="preserve">(3) Der Phosphatdüngebedarf ist unter Heranziehung der folgenden Einflüsse zu ermitteln:</w:t>
      </w:r>
    </w:p>
    <w:p>
      <w:pPr>
        <w:ind w:left="420"/>
      </w:pPr>
      <w:r>
        <w:t xml:space="preserve">1. der Phosphatbedarf des Pflanzenbestandes für die unter den jeweiligen Standort- und Anbaubedingungen zu erwartenden Erträge und Qualitäten; dabei sind die Phosphatgehalte pflanzlicher Erzeugnisse nach Anlage 7 Tabelle 1 bis 3 zu berücksichtigen,</w:t>
      </w:r>
    </w:p>
    <w:p>
      <w:pPr>
        <w:ind w:left="420"/>
      </w:pPr>
      <w:r>
        <w:t xml:space="preserve">2. die nach Absatz 4 ermittelte, im Boden verfügbare Phosphatmenge sowie die Nährstofffestlegung.</w:t>
      </w:r>
    </w:p>
    <w:p>
      <w:r>
        <w:t xml:space="preserve">Die Ermittlung nach Satz 1 kann auch im Rahmen der Fruchtfolge erfolgen.</w:t>
      </w:r>
    </w:p>
    <w:p>
      <w:r>
        <w:t xml:space="preserve">(4) Vor dem Aufbringen wesentlicher Nährstoffmengen sind die im Boden verfügbaren Nährstoffmengen vom Betriebsinhaber zu ermitteln</w:t>
      </w:r>
    </w:p>
    <w:p>
      <w:pPr>
        <w:ind w:left="420"/>
      </w:pPr>
      <w:r>
        <w:t xml:space="preserve">1. für Stickstoff auf jedem Schlag oder jeder Bewirtschaftungseinheit – außer auf Grünlandflächen, Dauergrünlandflächen und Flächen mit mehrschnittigem Feldfutterbau – für den Zeitpunkt der Düngung, mindestens aber jährlich,</w:t>
      </w:r>
    </w:p>
    <w:p>
      <w:pPr>
        <w:ind w:left="780"/>
      </w:pPr>
      <w:r>
        <w:t xml:space="preserve">a) durch Untersuchung repräsentativer Proben oder</w:t>
      </w:r>
    </w:p>
    <w:p>
      <w:pPr>
        <w:ind w:left="780"/>
      </w:pPr>
      <w:r>
        <w:t xml:space="preserve">b) nach Empfehlung der nach Landesrecht zuständigen Stelle oder einer von dieser empfohlenen Beratungseinrichtung</w:t>
      </w:r>
    </w:p>
    <w:p>
      <w:pPr>
        <w:ind w:left="1140"/>
      </w:pPr>
      <w:r>
        <w:t xml:space="preserve">aa) durch Übernahme der Ergebnisse der Untersuchungen vergleichbarer Standorte oder</w:t>
      </w:r>
    </w:p>
    <w:p>
      <w:pPr>
        <w:ind w:left="1140"/>
      </w:pPr>
      <w:r>
        <w:t xml:space="preserve">bb) durch Anwendung von Berechnungs- und Schätzverfahren, die auf fachspezifischen Erkenntnissen beruhen,</w:t>
      </w:r>
    </w:p>
    <w:p>
      <w:pPr>
        <w:ind w:left="420"/>
      </w:pPr>
      <w:r>
        <w:t xml:space="preserve">2. für Phosphat auf Grundlage der Untersuchung repräsentativer Bodenproben, die für jeden Schlag ab einem Hektar, in der Regel im Rahmen einer Fruchtfolge, mindestens alle sechs Jahre durchzuführen sind. Ausgenommen sind Flächen nach § 10 Absatz 3 Nummer 2.</w:t>
      </w:r>
    </w:p>
    <w:p>
      <w:r>
        <w:t xml:space="preserve">Satz 1 Nummer 1 Buchstabe b gilt nicht für den Anbau von Gemüsekulturen, die nach einer Gemüsevorkultur im selben Jahr angebaut werden; in diesem Fall ist die im Boden verfügbare Stickstoffmenge durch Untersuchung repräsentativer Proben zu ermitteln. Die Probennahmen und Untersuchungen sind nach Vorgaben der nach Landesrecht zuständigen Stelle durchzuführen.</w:t>
      </w:r>
    </w:p>
    <w:p>
      <w:r>
        <w:rPr>
          <w:color w:val="555555"/>
          <w:sz w:val="17"/>
        </w:rPr>
        <w:t xml:space="preserve">Zitiervorschlag: § 4 DüV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https://recht.nulegal.eu/gesetze/D%C3%BCV%202017/4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