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DüMV 2012</w:t>
      </w:r>
    </w:p>
    <w:p>
      <w:r>
        <w:rPr>
          <w:color w:val="555555"/>
          <w:sz w:val="18"/>
        </w:rPr>
        <w:t xml:space="preserve">Düngemittelverordnung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 Absatz 2 in Verbindung mit Absatz 3, des § 5 Absatz 5 Satz 1 Nummer 1, des § 7, des § 8 Absatz 1, des § 9 und des § 15 Absatz 1 und 2 des Düngegesetzes vom 9. Januar 2009 (BGBl. I S. 54, 136) verordnet das Bundesministerium für Ernährung, Landwirtschaft und Verbraucherschutz:</w:t>
      </w:r>
    </w:p>
    <w:p>
      <w:r>
        <w:rPr>
          <w:color w:val="555555"/>
          <w:sz w:val="17"/>
        </w:rPr>
        <w:t xml:space="preserve">Zitiervorschlag: Eingangsformel DüMV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https://recht.nulegal.eu/gesetze/D%C3%BCMV%202012/eingangsformel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