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7a DüMV 2012 — Kennzeichnung bei Inverkehrbringen nach § 5 Absatz 1 Satz 2 des Düngegesetzes</w:t>
      </w:r>
    </w:p>
    <w:p>
      <w:r>
        <w:rPr>
          <w:color w:val="555555"/>
          <w:sz w:val="18"/>
        </w:rPr>
        <w:t xml:space="preserve">Düngemittelverordnung</w:t>
      </w:r>
    </w:p>
    <w:p>
      <w:r>
        <w:rPr>
          <w:color w:val="555555"/>
          <w:sz w:val="18"/>
        </w:rPr>
        <w:t xml:space="preserve">Stand: 17.10.2019 (konsolidierte Textfassung, kein amtliches Inkrafttretensdatum)</w:t>
      </w:r>
    </w:p>
    <w:p>
      <w:r>
        <w:t xml:space="preserve">Wer Düngemittel, Bodenhilfsstoffe, Kultursubstrate oder Pflanzenhilfsmittel nach § 5 Absatz 1 Satz 2 des Düngegesetzes in den Verkehr bringt, hat dafür zu sorgen, dass der jeweilige Stoff</w:t>
      </w:r>
    </w:p>
    <w:p>
      <w:pPr>
        <w:ind w:left="420"/>
      </w:pPr>
      <w:r>
        <w:t xml:space="preserve">1. in deutscher Sprache und deutlich lesbar,</w:t>
      </w:r>
    </w:p>
    <w:p>
      <w:pPr>
        <w:ind w:left="420"/>
      </w:pPr>
      <w:r>
        <w:t xml:space="preserve">2. entsprechend den Anforderungen des Staates, in dem er rechtmäßig hergestellt oder rechtmäßig in den Verkehr gebracht worden ist, und</w:t>
      </w:r>
    </w:p>
    <w:p>
      <w:pPr>
        <w:ind w:left="420"/>
      </w:pPr>
      <w:r>
        <w:t xml:space="preserve">3. mit einem Hinweis auf den Staat nach Nummer 2 und die Rechtsvorschrift oder rechtliche Grundlage dieses Staates, auf Grund derer der Stoff hergestellt oder in Verkehr gebracht worden ist,</w:t>
      </w:r>
    </w:p>
    <w:p>
      <w:r>
        <w:t xml:space="preserve">gekennzeichnet ist. Andere Sprachen dürfen zusätzlich verwendet werden.</w:t>
      </w:r>
    </w:p>
    <w:p>
      <w:r>
        <w:rPr>
          <w:color w:val="555555"/>
          <w:sz w:val="17"/>
        </w:rPr>
        <w:t xml:space="preserve">Zitiervorschlag: § 7a DüMV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https://recht.nulegal.eu/gesetze/D%C3%BCMV%202012/7a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