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DüMV 2012 — Kennzeichnung bei EG-Düngemitteln</w:t>
      </w:r>
    </w:p>
    <w:p>
      <w:r>
        <w:rPr>
          <w:color w:val="555555"/>
          <w:sz w:val="18"/>
        </w:rPr>
        <w:t xml:space="preserve">Düngemittelverordnung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 ein Düngemittel mit der Bezeichnung „EG-Düngemittel“ in den Verkehr bringt, hat dafür zu sorgen, dass das Düngemittel entsprechend den Anforderungen des Artikels 7 in Verbindung mit Artikel 10 und 11 der Verordnung (EG) Nr. 2003/2003 des Europäischen Parlaments und des Rates vom 13. Oktober 2003 über Düngemittel (ABl. L 304 vom 21.11.2003, S. 1) gekennzeichnet ist.</w:t>
      </w:r>
    </w:p>
    <w:p>
      <w:r>
        <w:rPr>
          <w:color w:val="555555"/>
          <w:sz w:val="17"/>
        </w:rPr>
        <w:t xml:space="preserve">Zitiervorschlag: § 7 DüMV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https://recht.nulegal.eu/gesetze/D%C3%BCMV%202012/7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