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DüMV 2012 — Anforderungen an die Kennzeichnung</w:t>
      </w:r>
    </w:p>
    <w:p>
      <w:r>
        <w:rPr>
          <w:color w:val="555555"/>
          <w:sz w:val="18"/>
        </w:rPr>
        <w:t xml:space="preserve">Düngemittelverordnung</w:t>
      </w:r>
    </w:p>
    <w:p>
      <w:r>
        <w:rPr>
          <w:color w:val="555555"/>
          <w:sz w:val="18"/>
        </w:rPr>
        <w:t xml:space="preserve">Stand: 17.10.2019 (konsolidierte Textfassung, kein amtliches Inkrafttretensdatum)</w:t>
      </w:r>
    </w:p>
    <w:p>
      <w:r>
        <w:t xml:space="preserve">(1) Düngemittel, Bodenhilfsstoffe, Kultursubstrate und Pflanzenhilfsmittel dürfen nur in den Verkehr gebracht werden, wenn</w:t>
      </w:r>
    </w:p>
    <w:p>
      <w:pPr>
        <w:ind w:left="420"/>
      </w:pPr>
      <w:r>
        <w:t xml:space="preserve">1. sie mit Angaben nach Maßgabe der Anlage 2 Tabelle 10.1 bis 10.4 in der dort getroffenen Reihenfolge gekennzeichnet sind,</w:t>
      </w:r>
    </w:p>
    <w:p>
      <w:pPr>
        <w:ind w:left="420"/>
      </w:pPr>
      <w:r>
        <w:t xml:space="preserve">2. nach Anlage 2 Tabelle 10.3 oder 10.5 im Rahmen von Hinweisen zur sachgerechten Anwendung empfohlene Aufwandmengen einer Düngung nach guter fachlicher Praxis im Sinne des § 3 Absatz 2 des Düngegesetzes nicht entgegenstehen,</w:t>
      </w:r>
    </w:p>
    <w:p>
      <w:pPr>
        <w:ind w:left="420"/>
      </w:pPr>
      <w:r>
        <w:t xml:space="preserve">3. Nährstoffe in Worten und in chemischen Symbolen wie folgt angegeben sind:</w:t>
      </w:r>
    </w:p>
    <w:p>
      <w:pPr>
        <w:ind w:left="780"/>
      </w:pPr>
      <w:r>
        <w:t xml:space="preserve">a) es müssen die nachstehenden chemischen Symbole und Formeln verwendet werden:</w:t>
      </w:r>
    </w:p>
    <w:p>
      <w:r>
        <w:rPr>
          <w:rFonts w:ascii="Courier New" w:hAnsi="Courier New"/>
          <w:sz w:val="17"/>
        </w:rPr>
        <w:t xml:space="preserve">Stickstoff    N</w:t>
      </w:r>
    </w:p>
    <w:p>
      <w:r>
        <w:rPr>
          <w:rFonts w:ascii="Courier New" w:hAnsi="Courier New"/>
          <w:sz w:val="17"/>
        </w:rPr>
        <w:t xml:space="preserve">Phosphat    P2O5</w:t>
      </w:r>
    </w:p>
    <w:p>
      <w:r>
        <w:rPr>
          <w:rFonts w:ascii="Courier New" w:hAnsi="Courier New"/>
          <w:sz w:val="17"/>
        </w:rPr>
        <w:t xml:space="preserve">Kaliumoxid    K2O</w:t>
      </w:r>
    </w:p>
    <w:p>
      <w:r>
        <w:rPr>
          <w:rFonts w:ascii="Courier New" w:hAnsi="Courier New"/>
          <w:sz w:val="17"/>
        </w:rPr>
        <w:t xml:space="preserve">Calcium    Ca</w:t>
      </w:r>
    </w:p>
    <w:p>
      <w:r>
        <w:rPr>
          <w:rFonts w:ascii="Courier New" w:hAnsi="Courier New"/>
          <w:sz w:val="17"/>
        </w:rPr>
        <w:t xml:space="preserve">Calciumoxid    CaO</w:t>
      </w:r>
    </w:p>
    <w:p>
      <w:r>
        <w:rPr>
          <w:rFonts w:ascii="Courier New" w:hAnsi="Courier New"/>
          <w:sz w:val="17"/>
        </w:rPr>
        <w:t xml:space="preserve">Calciumcarbonat    CaCO3</w:t>
      </w:r>
    </w:p>
    <w:p>
      <w:r>
        <w:rPr>
          <w:rFonts w:ascii="Courier New" w:hAnsi="Courier New"/>
          <w:sz w:val="17"/>
        </w:rPr>
        <w:t xml:space="preserve">Magnesium    Mg</w:t>
      </w:r>
    </w:p>
    <w:p>
      <w:r>
        <w:rPr>
          <w:rFonts w:ascii="Courier New" w:hAnsi="Courier New"/>
          <w:sz w:val="17"/>
        </w:rPr>
        <w:t xml:space="preserve">Magnesiumoxid    MgO</w:t>
      </w:r>
    </w:p>
    <w:p>
      <w:r>
        <w:rPr>
          <w:rFonts w:ascii="Courier New" w:hAnsi="Courier New"/>
          <w:sz w:val="17"/>
        </w:rPr>
        <w:t xml:space="preserve">Magnesiumcarbonat    MgCO3</w:t>
      </w:r>
    </w:p>
    <w:p>
      <w:r>
        <w:rPr>
          <w:rFonts w:ascii="Courier New" w:hAnsi="Courier New"/>
          <w:sz w:val="17"/>
        </w:rPr>
        <w:t xml:space="preserve">Natrium    Na</w:t>
      </w:r>
    </w:p>
    <w:p>
      <w:r>
        <w:rPr>
          <w:rFonts w:ascii="Courier New" w:hAnsi="Courier New"/>
          <w:sz w:val="17"/>
        </w:rPr>
        <w:t xml:space="preserve">Schwefel    S</w:t>
      </w:r>
    </w:p>
    <w:p>
      <w:r>
        <w:rPr>
          <w:rFonts w:ascii="Courier New" w:hAnsi="Courier New"/>
          <w:sz w:val="17"/>
        </w:rPr>
        <w:t xml:space="preserve">Bor    B</w:t>
      </w:r>
    </w:p>
    <w:p>
      <w:r>
        <w:rPr>
          <w:rFonts w:ascii="Courier New" w:hAnsi="Courier New"/>
          <w:sz w:val="17"/>
        </w:rPr>
        <w:t xml:space="preserve">Eisen    Fe</w:t>
      </w:r>
    </w:p>
    <w:p>
      <w:r>
        <w:rPr>
          <w:rFonts w:ascii="Courier New" w:hAnsi="Courier New"/>
          <w:sz w:val="17"/>
        </w:rPr>
        <w:t xml:space="preserve">Kobalt    Co</w:t>
      </w:r>
    </w:p>
    <w:p>
      <w:r>
        <w:rPr>
          <w:rFonts w:ascii="Courier New" w:hAnsi="Courier New"/>
          <w:sz w:val="17"/>
        </w:rPr>
        <w:t xml:space="preserve">Kupfer    Cu</w:t>
      </w:r>
    </w:p>
    <w:p>
      <w:r>
        <w:rPr>
          <w:rFonts w:ascii="Courier New" w:hAnsi="Courier New"/>
          <w:sz w:val="17"/>
        </w:rPr>
        <w:t xml:space="preserve">Mangan    Mn</w:t>
      </w:r>
    </w:p>
    <w:p>
      <w:r>
        <w:rPr>
          <w:rFonts w:ascii="Courier New" w:hAnsi="Courier New"/>
          <w:sz w:val="17"/>
        </w:rPr>
        <w:t xml:space="preserve">Molybdän    Mo</w:t>
      </w:r>
    </w:p>
    <w:p>
      <w:r>
        <w:rPr>
          <w:rFonts w:ascii="Courier New" w:hAnsi="Courier New"/>
          <w:sz w:val="17"/>
        </w:rPr>
        <w:t xml:space="preserve">Zink    Zn,</w:t>
      </w:r>
    </w:p>
    <w:p>
      <w:pPr>
        <w:ind w:left="780"/>
      </w:pPr>
      <w:r>
        <w:t xml:space="preserve">b) zur der nach Buchstabe a vorgeschriebenen Oxid- und Carbonatform der Pflanzennährstoffe Phosphor, Kalium, Calcium und Magnesium kann zusätzlich auch deren Elementform angegeben sein, dazu müssen die Gehalte wie folgt umgerechnet sein:</w:t>
      </w:r>
    </w:p>
    <w:p>
      <w:r>
        <w:rPr>
          <w:rFonts w:ascii="Courier New" w:hAnsi="Courier New"/>
          <w:sz w:val="17"/>
        </w:rPr>
        <w:t xml:space="preserve">P2O5    x 0,436    = P (Phosphor)</w:t>
      </w:r>
    </w:p>
    <w:p>
      <w:r>
        <w:rPr>
          <w:rFonts w:ascii="Courier New" w:hAnsi="Courier New"/>
          <w:sz w:val="17"/>
        </w:rPr>
        <w:t xml:space="preserve">K2O    x 0,83    = K (Kalium)</w:t>
      </w:r>
    </w:p>
    <w:p>
      <w:r>
        <w:rPr>
          <w:rFonts w:ascii="Courier New" w:hAnsi="Courier New"/>
          <w:sz w:val="17"/>
        </w:rPr>
        <w:t xml:space="preserve">CaO    x 0,715    = Ca</w:t>
      </w:r>
    </w:p>
    <w:p>
      <w:r>
        <w:rPr>
          <w:rFonts w:ascii="Courier New" w:hAnsi="Courier New"/>
          <w:sz w:val="17"/>
        </w:rPr>
        <w:t xml:space="preserve">CaCO3    x 0,4    = Ca</w:t>
      </w:r>
    </w:p>
    <w:p>
      <w:r>
        <w:rPr>
          <w:rFonts w:ascii="Courier New" w:hAnsi="Courier New"/>
          <w:sz w:val="17"/>
        </w:rPr>
        <w:t xml:space="preserve">CaCO3    x 0,56    = CaO</w:t>
      </w:r>
    </w:p>
    <w:p>
      <w:r>
        <w:rPr>
          <w:rFonts w:ascii="Courier New" w:hAnsi="Courier New"/>
          <w:sz w:val="17"/>
        </w:rPr>
        <w:t xml:space="preserve">MgCO3    x 0,478    = MgO</w:t>
      </w:r>
    </w:p>
    <w:p>
      <w:r>
        <w:rPr>
          <w:rFonts w:ascii="Courier New" w:hAnsi="Courier New"/>
          <w:sz w:val="17"/>
        </w:rPr>
        <w:t xml:space="preserve">MgO    x 0,6    = Mg</w:t>
      </w:r>
    </w:p>
    <w:p>
      <w:r>
        <w:rPr>
          <w:rFonts w:ascii="Courier New" w:hAnsi="Courier New"/>
          <w:sz w:val="17"/>
        </w:rPr>
        <w:t xml:space="preserve">MgCO3    x 0,288    = Mg,</w:t>
      </w:r>
    </w:p>
    <w:p>
      <w:pPr>
        <w:ind w:left="420"/>
      </w:pPr>
      <w:r>
        <w:t xml:space="preserve">4. bei organischen und organisch-mineralischen Düngemitteln nach Anlage 1 Abschnitt 3 und Wirtschaftsdüngern gemäß § 4 Absatz 1 zusätzlich ein Gehalt an verfügbarem Stickstoff gekennzeichnet ist, wenn in der Trockenmasse mehr als 1,5 vom Hundert Stickstoff (Gesamt-N) enthalten ist und der verfügbare Stickstoff einen Anteil von 10 vom Hundert des Gesamt-N übersteigt,</w:t>
      </w:r>
    </w:p>
    <w:p>
      <w:pPr>
        <w:ind w:left="420"/>
      </w:pPr>
      <w:r>
        <w:t xml:space="preserve">5. Nebenbestandteile nach Anlage 2 Tabelle 1, wenn diese die Werte nach Anlage 2 Tabelle 1.1 bis 1.4 Spalte 2 erreichen, durch das vorangestellte Wort „Nebenbestandteile:“ und anschließend wie folgt gekennzeichnet sind:</w:t>
      </w:r>
    </w:p>
    <w:p>
      <w:pPr>
        <w:ind w:left="780"/>
      </w:pPr>
      <w:r>
        <w:t xml:space="preserve">a) die Nährstoffgehalte der für den Düngemitteltyp nicht bestimmenden Nebenbestandteile in Anlage 2 Tabelle 1.1 Spalte 1,</w:t>
      </w:r>
    </w:p>
    <w:p>
      <w:pPr>
        <w:ind w:left="780"/>
      </w:pPr>
      <w:r>
        <w:t xml:space="preserve">b) Nährstoffe in Wirtschaftsdüngern, Bodenhilfsstoffen, Kultursubstraten oder Pflanzenhilfsmitteln nach Anlage 2 Tabelle 1.2 Spalte 1,</w:t>
      </w:r>
    </w:p>
    <w:p>
      <w:pPr>
        <w:ind w:left="780"/>
      </w:pPr>
      <w:r>
        <w:t xml:space="preserve">c) weitere Nebenbestandteile nach Anlage 2 Tabelle 1.3 Spalte 1,</w:t>
      </w:r>
    </w:p>
    <w:p>
      <w:pPr>
        <w:ind w:left="780"/>
      </w:pPr>
      <w:r>
        <w:t xml:space="preserve">d) Schwermetalle und andere Schadstoffe nach Anlage 2 Tabelle 1.4 Spalte 1.</w:t>
      </w:r>
    </w:p>
    <w:p>
      <w:r>
        <w:t xml:space="preserve">(2) Abweichend von Absatz 1 genügt</w:t>
      </w:r>
    </w:p>
    <w:p>
      <w:pPr>
        <w:ind w:left="420"/>
      </w:pPr>
      <w:r>
        <w:t xml:space="preserve">1. bei einem Inverkehrbringen von Kultursubstraten, die durch geeignete Kennzeichnung</w:t>
      </w:r>
    </w:p>
    <w:p>
      <w:pPr>
        <w:ind w:left="780"/>
      </w:pPr>
      <w:r>
        <w:t xml:space="preserve">a) ausschließlich für eine Verwertung in geschlossenen Systemen (insbesondere Pflanzcontainer, Innenraumbegrünung) oder</w:t>
      </w:r>
    </w:p>
    <w:p>
      <w:pPr>
        <w:ind w:left="780"/>
      </w:pPr>
      <w:r>
        <w:t xml:space="preserve">b) im Freiland für eine einmalige Anwendung bei der Pflanzung von Bäumen und Sträuchern, begrenzt auf Pflanzlöcher und Baumscheiben vorgesehen sind,</w:t>
      </w:r>
    </w:p>
    <w:p>
      <w:pPr>
        <w:ind w:left="420"/>
      </w:pPr>
      <w:r>
        <w:t xml:space="preserve">eine Kennzeichnung nach den für Bodenhilfsstoffe in Anlage 2 Tabelle 1.2 vorgesehenen Grenzen,</w:t>
      </w:r>
    </w:p>
    <w:p>
      <w:pPr>
        <w:ind w:left="420"/>
      </w:pPr>
      <w:r>
        <w:t xml:space="preserve">2. bei einem Inverkehrbringen von Kultursubstraten, deren Anwendungsempfehlungen bei einer Anwendung im Freiland zu Aufbringungsmengen führen, welche die Grenzen nach § 4 Absatz 3 Nummer 2 unterschreiten, eine Kennzeichnung für Magnesium und Schwefel nach den für Bodenhilfsstoffe in Anlage 2 Tabelle 1.2 Nummer 1.2.7 und 1.2.8 vorgesehenen Grenzen,</w:t>
      </w:r>
    </w:p>
    <w:p>
      <w:pPr>
        <w:ind w:left="420"/>
      </w:pPr>
      <w:r>
        <w:t xml:space="preserve">3. bei einem schriftlichen Angebot eine Kennzeichnung nach Anlage 2 Tabelle 10 Nummer 10.4.1,</w:t>
      </w:r>
    </w:p>
    <w:p>
      <w:pPr>
        <w:ind w:left="420"/>
      </w:pPr>
      <w:r>
        <w:t xml:space="preserve">4. bei einer Lieferung in Gebiete außerhalb des Geltungsbereiches des Düngegesetzes eine Kennzeichnung nach Anlage 2 Tabelle 10 Nummer 10.4.2,</w:t>
      </w:r>
    </w:p>
    <w:p>
      <w:pPr>
        <w:ind w:left="420"/>
      </w:pPr>
      <w:r>
        <w:t xml:space="preserve">5. bei einem Inverkehrbringen zu Forschungs- oder Versuchszwecken nach § 5 Absatz 5 Nummer 1 des Düngegesetzes eine Kennzeichnung nach Anlage 2 Tabelle 10 Nummer 10.4.3.</w:t>
      </w:r>
    </w:p>
    <w:p>
      <w:r>
        <w:t xml:space="preserve">(3) Darüber hinaus dürfen Düngemittel, Bodenhilfsstoffe, Kultursubstrate und Pflanzenhilfsmittel nur in den Verkehr gebracht werden, wenn ihre Kennzeichnung folgenden Anforderungen entspricht:</w:t>
      </w:r>
    </w:p>
    <w:p>
      <w:pPr>
        <w:ind w:left="420"/>
      </w:pPr>
      <w:r>
        <w:t xml:space="preserve">1. bei einer Einfuhr zur Abgabe an andere muss die Kennzeichnung unverzüglich nach der Einfuhr, jedoch in jedem Falle vor der Abgabe, erfolgt sein,</w:t>
      </w:r>
    </w:p>
    <w:p>
      <w:pPr>
        <w:ind w:left="420"/>
      </w:pPr>
      <w:r>
        <w:t xml:space="preserve">2. beim Inverkehrbringen in geschlossenen Packungen oder geschlossenen Behältnissen müssen die Angaben gut sichtbar auf der Verpackung oder dem Behältnis selbst, auf einem mit der Packung oder dem Behältnis fest verbundenen Aufkleber oder auf einem Anhänger angebracht sein; in anderen Fällen müssen die Angaben auf einer Rechnung, einem Lieferschein oder einem Warenbegleitpapier gemacht sein, von denen mindestens ein Stück der jeweiligen Partie beigefügt sein muss,</w:t>
      </w:r>
    </w:p>
    <w:p>
      <w:pPr>
        <w:ind w:left="420"/>
      </w:pPr>
      <w:r>
        <w:t xml:space="preserve">3. abweichend von Nummer 2 erster Teilsatz genügt es, wenn die Angaben nach Anlage 2 Tabelle 10.2, 10.3 und 10.5 ausschließlich auf einem Warenbegleitpapier gemacht werden, wenn</w:t>
      </w:r>
    </w:p>
    <w:p>
      <w:pPr>
        <w:ind w:left="780"/>
      </w:pPr>
      <w:r>
        <w:t xml:space="preserve">a) auf ein solches ergänzendes Begleitpapier im Rahmen der Kennzeichnung auf der Ware verwiesen wird,</w:t>
      </w:r>
    </w:p>
    <w:p>
      <w:pPr>
        <w:ind w:left="780"/>
      </w:pPr>
      <w:r>
        <w:t xml:space="preserve">b) durch die Kennzeichnung der Zusammenhang zwischen Begleitpapier und Warenpartie eindeutig ist,</w:t>
      </w:r>
    </w:p>
    <w:p>
      <w:pPr>
        <w:ind w:left="780"/>
      </w:pPr>
      <w:r>
        <w:t xml:space="preserve">c) jede Partie durch ein solches Begleitpapier deutlich gekennzeichnet ist und die Begleitpapiere im erforderlichen Umfang für die Weitergabe an Kunden jederzeit zur Verfügung stehen.</w:t>
      </w:r>
    </w:p>
    <w:p>
      <w:r>
        <w:t xml:space="preserve">(4) Entspricht ein Düngemittel mehreren Düngemitteltypen, muss es als der Düngemitteltyp, mit dem die stofflichen Eigenschaften weitestgehend beschrieben werden, gekennzeichnet sein, davon ausgenommen sind als Wirtschaftsdünger in den Verkehr gebrachte Düngemittel.</w:t>
      </w:r>
    </w:p>
    <w:p>
      <w:r>
        <w:t xml:space="preserve">(5) Beim Inverkehrbringen in Behältnissen mit mehr als 100 Kilogramm Inhalt genügt für alle Angaben eine Kennzeichnung auf einer Rechnung, einem Lieferschein oder einem Warenbegleitpapier, von denen mindestens ein Stück der jeweiligen Partie beigefügt sein muss.</w:t>
      </w:r>
    </w:p>
    <w:p>
      <w:r>
        <w:t xml:space="preserve">(6) Düngemittel, Bodenhilfsstoffe, Kultursubstrate oder Pflanzenhilfsmittel dürfen zusätzlich mit Angaben nach Anlage 2 Tabelle 10.5 versehen sein, dabei dürfen Angaben nach Anlage 2 Tabelle 10.5 nicht in Widerspruch zu vorgeschriebenen Angaben nach Anlage 2 Tabelle 10.1 bis 10.3 stehen.</w:t>
      </w:r>
    </w:p>
    <w:p>
      <w:r>
        <w:t xml:space="preserve">(7) Die Angaben zur Kennzeichnung nach den Absätzen 1 bis 5 in Verbindung mit ergänzenden Vorgaben nach Anlage 2 Tabelle 10 müssen in deutscher Sprache abgefasst und deutlich lesbar sein; andere Sprachen dürfen zusätzlich verwendet sein.</w:t>
      </w:r>
    </w:p>
    <w:p>
      <w:r>
        <w:t xml:space="preserve">(8) Angaben nach Anlage 2 Tabelle 10.2 bis 10.3 müssen von Angaben nach Tabelle 10.1 deutlich abgesetzt sein. Kennzeichnungsangaben nach Tabelle 10.5 einschließlich solcher für andere Länder oder in anderen Sprachen müssen von Angaben nach Tabelle 10.1 bis 10.4 deutlich abgesetzt sein.</w:t>
      </w:r>
    </w:p>
    <w:p>
      <w:r>
        <w:t xml:space="preserve">(9) Eine Kennzeichnung im eigenen Betrieb erzeugter Wirtschaftsdünger ist nicht erforderlich, wenn bei einer Abgabe an Dritte zum dortigen eigenen Verbrauch die abgegebene Menge eine Tonne Frischmasse je Kalenderjahr nicht überschreitet. Eine Kennzeichnung ist ferner nicht erforderlich, wenn im eigenen Betrieb angefallener Dünger an einen landwirtschaftlichen Betrieb zur Verwertung als Düngemittel auf dessen Flächen abgegeben wird und vom abgebenden Betrieb eine Abgabemenge von insgesamt 200 Tonnen Frischmasse im Kalenderjahr nicht überschritten wird.</w:t>
      </w:r>
    </w:p>
    <w:p>
      <w:r>
        <w:t xml:space="preserve">(10) Düngemittel, die entsprechend den Anforderungen der Absätze 1 bis 8 oder des § 7a gekennzeichnet sind, dürfen nicht gleichzeitig als „EG-Düngemittel“ nach § 7 gekennzeichnet sein.</w:t>
      </w:r>
    </w:p>
    <w:p>
      <w:r>
        <w:rPr>
          <w:color w:val="555555"/>
          <w:sz w:val="17"/>
        </w:rPr>
        <w:t xml:space="preserve">Zitiervorschlag: § 6 DüMV 2012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https://recht.nulegal.eu/gesetze/D%C3%BCMV%202012/6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