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DüMV 2012 — Inverkehrbringen von Wirtschaftsdüngern, Bodenhilfsstoffen, Kultursubstraten und Pflanzenhilfsmitteln</w:t>
      </w:r>
    </w:p>
    <w:p>
      <w:r>
        <w:rPr>
          <w:color w:val="555555"/>
          <w:sz w:val="18"/>
        </w:rPr>
        <w:t xml:space="preserve">Düngemittelverordnung</w:t>
      </w:r>
    </w:p>
    <w:p>
      <w:r>
        <w:rPr>
          <w:color w:val="555555"/>
          <w:sz w:val="18"/>
        </w:rPr>
        <w:t xml:space="preserve">Stand: 17.10.2019 (konsolidierte Textfassung, kein amtliches Inkrafttretensdatum)</w:t>
      </w:r>
    </w:p>
    <w:p>
      <w:r>
        <w:t xml:space="preserve">(1) Wirtschaftsdünger, soweit diese nicht als Düngemittel nach Anlage 1 Abschnitt 3 in den Verkehr gebracht werden, sowie Bodenhilfsstoffe, Kultursubstrate und Pflanzenhilfsmittel dürfen nur in den Verkehr gebracht werden, wenn</w:t>
      </w:r>
    </w:p>
    <w:p>
      <w:pPr>
        <w:ind w:left="420"/>
      </w:pPr>
      <w:r>
        <w:t xml:space="preserve">1. sie bei sachgerechter Anwendung die Fruchtbarkeit des Bodens, die Gesundheit von Menschen, Tieren und Nutzpflanzen nicht schädigen und den Naturhaushalt nicht gefährden,</w:t>
      </w:r>
    </w:p>
    <w:p>
      <w:pPr>
        <w:ind w:left="420"/>
      </w:pPr>
      <w:r>
        <w:t xml:space="preserve">2. für die Herstellung</w:t>
      </w:r>
    </w:p>
    <w:p>
      <w:pPr>
        <w:ind w:left="780"/>
      </w:pPr>
      <w:r>
        <w:t xml:space="preserve">a) als Ausgangsstoffe nur Stoffe verwendet worden sind, die die Fruchtbarkeit des Bodens, die Gesundheit von Menschen und Tieren und Nutzpflanzen nicht schädigen und den Naturhaushalt nicht gefährden und</w:t>
      </w:r>
    </w:p>
    <w:p>
      <w:pPr>
        <w:ind w:left="1140"/>
      </w:pPr>
      <w:r>
        <w:t xml:space="preserve">aa) einen pflanzenbaulichen, produktions- oder anwendungstechnischen Nutzen haben oder</w:t>
      </w:r>
    </w:p>
    <w:p>
      <w:pPr>
        <w:ind w:left="1140"/>
      </w:pPr>
      <w:r>
        <w:t xml:space="preserve">bb) dem Bodenschutz sowie der Erhaltung und Förderung der Fruchtbarkeit des Bodens dienen.</w:t>
      </w:r>
    </w:p>
    <w:p>
      <w:pPr>
        <w:ind w:left="780"/>
      </w:pPr>
      <w:r>
        <w:t xml:space="preserve">b) mineralische Stoffe, außer Nebenbestandteile nach Anlage 2 Tabelle 8, nur nach Maßgabe der Vorgaben für Düngemitteltypen nach Anlage 1 oder der Anlage 2 Tabellen 6 und 7 verwendet worden sind,</w:t>
      </w:r>
    </w:p>
    <w:p>
      <w:pPr>
        <w:ind w:left="780"/>
      </w:pPr>
      <w:r>
        <w:t xml:space="preserve">c) organische Stoffe, außer Nebenbestandteile nach Anlage 2 Tabelle 8, nur nach Maßgabe der Anlage 2 Tabelle 7.1, 7.2 und 7.4 verwendet worden sind,</w:t>
      </w:r>
    </w:p>
    <w:p>
      <w:pPr>
        <w:ind w:left="780"/>
      </w:pPr>
      <w:r>
        <w:t xml:space="preserve">d) keine anderen Phosphate als die in Anlage 2 Tabelle 4 genannten verwendet worden sind,</w:t>
      </w:r>
    </w:p>
    <w:p>
      <w:pPr>
        <w:ind w:left="780"/>
      </w:pPr>
      <w:r>
        <w:t xml:space="preserve">e) Aufbereitungshilfsmittel nach Anlage 2 Tabelle 8.1 sowie Anwendungshilfsmittel nach Anlage 2 Tabelle 8.2 nur nach den dort getroffenen Maßgaben verwendet worden sind,</w:t>
      </w:r>
    </w:p>
    <w:p>
      <w:pPr>
        <w:ind w:left="780"/>
      </w:pPr>
      <w:r>
        <w:t xml:space="preserve">f) Fremdbestandteile</w:t>
      </w:r>
    </w:p>
    <w:p>
      <w:pPr>
        <w:ind w:left="1140"/>
      </w:pPr>
      <w:r>
        <w:t xml:space="preserve">aa) nur nach Maßgabe der Anlage 2 Tabelle 8.3 verwendet worden sind,</w:t>
      </w:r>
    </w:p>
    <w:p>
      <w:pPr>
        <w:ind w:left="1140"/>
      </w:pPr>
      <w:r>
        <w:t xml:space="preserve">bb) bei der Zugabe insgesamt nicht überwiegen, es sei denn, in Anlage 2 Tabelle 8.3 wird für einzelne Stoffe ein anderer Anteil zugelassen und</w:t>
      </w:r>
    </w:p>
    <w:p>
      <w:pPr>
        <w:ind w:left="1140"/>
      </w:pPr>
      <w:r>
        <w:t xml:space="preserve">cc) im Rahmen ihrer Zugabe nicht zu einer Erhöhung der Schadstoffkonzentrationen führen, soweit in begründeten Fällen keine anderen Regelungen getroffen worden sind.</w:t>
      </w:r>
    </w:p>
    <w:p>
      <w:pPr>
        <w:ind w:left="420"/>
      </w:pPr>
      <w:r>
        <w:t xml:space="preserve">3. in Wirtschaftsdüngern sowie in Bodenhilfsstoffen, Kultursubstraten und Pflanzenhilfsmitteln und in deren Ausgangsstoffen nach Anlage 2 Tabellen 6 bis 8 die Grenzwerte nach Anlage 2 Tabelle 1.4 Spalte 4, mit Ausnahme der Zeile 1.4.10 Spalte 4 und 5 im Falle von Wirtschaftsdüngern tierischer Herkunft sowie Gärresten ohne Bioabfallanteil, nicht überschritten sind,</w:t>
      </w:r>
    </w:p>
    <w:p>
      <w:pPr>
        <w:ind w:left="420"/>
      </w:pPr>
      <w:r>
        <w:t xml:space="preserve">4. als Fremdbestandteil nach Anlage 2 Tabelle 8.3</w:t>
      </w:r>
    </w:p>
    <w:p>
      <w:pPr>
        <w:ind w:left="780"/>
      </w:pPr>
      <w:r>
        <w:t xml:space="preserve">a) Steine über 10 Millimeter Siebdurchgang nicht über einen Anteil von 5 vom Hundert/TM,</w:t>
      </w:r>
    </w:p>
    <w:p>
      <w:pPr>
        <w:ind w:left="780"/>
      </w:pPr>
      <w:r>
        <w:t xml:space="preserve">b) Altpapier, Karton, Glas, Metalle und plastisch nicht verformbare Kunststoffe über 1 mm Siebdurchgang nur nach Maßgabe der Anlage 2 Tabelle 8 Nummer 8.3.9 und zusammen nicht über einen Anteil von 0,4 vom Hundert/TM und</w:t>
      </w:r>
    </w:p>
    <w:p>
      <w:pPr>
        <w:ind w:left="780"/>
      </w:pPr>
      <w:r>
        <w:t xml:space="preserve">c) sonstige nicht abgebaute Kunststoffe über 1 mm Siebdurchgang nicht über einen Anteil von 0,1 vom Hundert/TM</w:t>
      </w:r>
    </w:p>
    <w:p>
      <w:pPr>
        <w:ind w:left="420"/>
      </w:pPr>
      <w:r>
        <w:t xml:space="preserve">enthalten sind.</w:t>
      </w:r>
    </w:p>
    <w:p>
      <w:r>
        <w:t xml:space="preserve">(2) Bei Stoffen zur Verwendung in Bodenhilfsstoffen, Kultursubstraten oder Pflanzenhilfsmitteln gilt Absatz 1 nicht für</w:t>
      </w:r>
    </w:p>
    <w:p>
      <w:pPr>
        <w:ind w:left="420"/>
      </w:pPr>
      <w:r>
        <w:t xml:space="preserve">1. die Anforderungen an eine Nützlichkeit nach Absatz 1 Nummer 2 Buchstabe a Doppelbuchstabe aa und bb, im Falle von Fremdbestandteilen nach Anlage 2 Tabelle 8.3,</w:t>
      </w:r>
    </w:p>
    <w:p>
      <w:pPr>
        <w:ind w:left="420"/>
      </w:pPr>
      <w:r>
        <w:t xml:space="preserve">2. die Grenzwerte nach Anlage 2 Tabelle 1.4 Spalte 4 im Falle von</w:t>
      </w:r>
    </w:p>
    <w:p>
      <w:pPr>
        <w:ind w:left="780"/>
      </w:pPr>
      <w:r>
        <w:t xml:space="preserve">a) Brennraumaschen entsprechend den Vorgaben nach Tabelle 7.3 Zeile 7.3.16 aus ausschließlicher Verbrennung von unbehandeltem Holz von den Grenzwerten nach Anlage 2 Tabelle 1.4 Spalte 4 bis zu einer Überschreitung von 50 vom Hundert, wenn im Rahmen der Hinweise zur sachgerechten Anwendung auf deren ausschließliche Verwendbarkeit auf forstlichen Standorten hingewiesen wird,</w:t>
      </w:r>
    </w:p>
    <w:p>
      <w:pPr>
        <w:ind w:left="780"/>
      </w:pPr>
      <w:r>
        <w:t xml:space="preserve">b) mineralischen Stoffen nach Anlage 2 Tabelle 7.3 bei einer Verwendung als Ausgangsstoff für Kultursubstrate von den Grenzwerten nach Anlage 2 Tabelle 1.4 Spalte 4 bis zu einer Überschreitung von 50 vom Hundert, wenn diese Kultursubstrate</w:t>
      </w:r>
    </w:p>
    <w:p>
      <w:pPr>
        <w:ind w:left="1140"/>
      </w:pPr>
      <w:r>
        <w:t xml:space="preserve">aa) zur Nutzung als Dachsubstrate, als Substrate zur ausschließlichen Nutzung in geschlossenen Systemen (insbesondere Pflanzcontainer, Innenraumbegrünung) und</w:t>
      </w:r>
    </w:p>
    <w:p>
      <w:pPr>
        <w:ind w:left="1140"/>
      </w:pPr>
      <w:r>
        <w:t xml:space="preserve">bb) hinsichtlich der am Ende der Nutzung nicht mehr erlaubten neuerlichen Verwendung, mit Ausnahme einer Wiederverwendung mit derselben Zweckbestimmung, als Stoff nach § 2 des Düngegesetzes</w:t>
      </w:r>
    </w:p>
    <w:p>
      <w:pPr>
        <w:ind w:left="780"/>
      </w:pPr>
      <w:r>
        <w:t xml:space="preserve">deutlich gekennzeichnet sind.</w:t>
      </w:r>
    </w:p>
    <w:p>
      <w:r>
        <w:t xml:space="preserve">(3) Stoffe dürfen nicht als Bodenhilfsstoff oder Pflanzenhilfsmittel in den Verkehr gebracht werden, wenn</w:t>
      </w:r>
    </w:p>
    <w:p>
      <w:pPr>
        <w:ind w:left="420"/>
      </w:pPr>
      <w:r>
        <w:t xml:space="preserve">1. ein Gehalt an Gesamtnährstoffen in der Trockenmasse von mehr als</w:t>
      </w:r>
    </w:p>
    <w:p>
      <w:pPr>
        <w:ind w:left="780"/>
      </w:pPr>
      <w:r>
        <w:t xml:space="preserve">a) 1,5 vom Hundert Stickstoff (N),</w:t>
      </w:r>
    </w:p>
    <w:p>
      <w:pPr>
        <w:ind w:left="780"/>
      </w:pPr>
      <w:r>
        <w:t xml:space="preserve">b) 0,5 vom Hundert Phosphat (P2O5),</w:t>
      </w:r>
    </w:p>
    <w:p>
      <w:pPr>
        <w:ind w:left="780"/>
      </w:pPr>
      <w:r>
        <w:t xml:space="preserve">c) 0,75 vom Hundert Kaliumoxid (K2O),</w:t>
      </w:r>
    </w:p>
    <w:p>
      <w:pPr>
        <w:ind w:left="780"/>
      </w:pPr>
      <w:r>
        <w:t xml:space="preserve">d) 0,3 vom Hundert Schwefel (S),</w:t>
      </w:r>
    </w:p>
    <w:p>
      <w:pPr>
        <w:ind w:left="780"/>
      </w:pPr>
      <w:r>
        <w:t xml:space="preserve">e) 0,07 vom Hundert Kupfer (Cu),</w:t>
      </w:r>
    </w:p>
    <w:p>
      <w:pPr>
        <w:ind w:left="780"/>
      </w:pPr>
      <w:r>
        <w:t xml:space="preserve">f) 0,5 vom Hundert Zink (Zn) oder</w:t>
      </w:r>
    </w:p>
    <w:p>
      <w:pPr>
        <w:ind w:left="780"/>
      </w:pPr>
      <w:r>
        <w:t xml:space="preserve">g) bei basisch wirksamen Bestandteilen ein Wert von mehr als 30 vom Hundert, bewertet als CaO, erreicht wird oder</w:t>
      </w:r>
    </w:p>
    <w:p>
      <w:pPr>
        <w:ind w:left="420"/>
      </w:pPr>
      <w:r>
        <w:t xml:space="preserve">2. auf das Produkt bezogene Anwendungsempfehlungen bei einer einmaligen Anwendung zu einer Aufbringung von mehr als 50 Kilogramm N, 30 Kilogramm P2O5, 50 Kilogramm K2O, 500 Kilogramm CaO oder 15 Kilogramm S je Hektar führen würden.</w:t>
      </w:r>
    </w:p>
    <w:p>
      <w:r>
        <w:t xml:space="preserve">Für die Ermittlung des Gehaltes an Gesamtstickstoff und der daraus ermittelten Stickstofffracht zur Abgrenzung von Bodenhilfsstoffen, Kultursubstraten und Pflanzenhilfsmitteln von Düngemitteln sind für Stickstoff die Verbrennungsmethode (Methode 3.1.1; VDLUFA-Methodenbuch Band II.2; 1. Auflage 2000, VDLUFA-Verlag Darmstadt) oder gegebenenfalls gleichwertige andere für die Feststellung des Gesamtstickstoffgehaltes geeignete Methoden zu verwenden. Das Verbot des Inverkehrbringens als Bodenhilfsstoff oder Pflanzenhilfsmittel nach Satz 1 gilt nicht</w:t>
      </w:r>
    </w:p>
    <w:p>
      <w:pPr>
        <w:ind w:left="420"/>
      </w:pPr>
      <w:r>
        <w:t xml:space="preserve">1. für Gesteinsmehle, davon ausgenommen Kalkstein, Kreide, Dolomit, Magnesit oder Phonolith,</w:t>
      </w:r>
    </w:p>
    <w:p>
      <w:pPr>
        <w:ind w:left="420"/>
      </w:pPr>
      <w:r>
        <w:t xml:space="preserve">2. für Stoffe, die in Spalte 3 der Anlage 2 Tabelle 7 für diese Zweckbestimmung besonders benannt sind.</w:t>
      </w:r>
    </w:p>
    <w:p>
      <w:r>
        <w:t xml:space="preserve">(4) Abweichend von § 5 Absatz 1 Satz 1 des Düngegesetzes dürfen Stoffe zu Forschungs- und Versuchszwecken, die den Vorgaben des Düngegesetzes und dieser Verordnung nicht entsprechen, in den Verkehr gebracht werden, soweit Schäden für die Gesundheit von Menschen und Tieren oder Gefährdungen des Naturhaushalts nicht zu befürchten sind. § 5 sowie Anlage 2 Tabelle 1.4 bleiben unberührt.</w:t>
      </w:r>
    </w:p>
    <w:p>
      <w:r>
        <w:t xml:space="preserve">(5) Wer Stoffe nach Absatz 4 in den Verkehr bringt, hat dies der nach Landesrecht zuständigen Stelle spätestens 21 Tage vor dem Inverkehrbringen anzuzeigen und dabei anzugeben</w:t>
      </w:r>
    </w:p>
    <w:p>
      <w:pPr>
        <w:ind w:left="420"/>
      </w:pPr>
      <w:r>
        <w:t xml:space="preserve">1. Art und Zusammensetzung des Stoffes,</w:t>
      </w:r>
    </w:p>
    <w:p>
      <w:pPr>
        <w:ind w:left="420"/>
      </w:pPr>
      <w:r>
        <w:t xml:space="preserve">2. Forschungs- oder Versuchszweck,</w:t>
      </w:r>
    </w:p>
    <w:p>
      <w:pPr>
        <w:ind w:left="420"/>
      </w:pPr>
      <w:r>
        <w:t xml:space="preserve">3. Name und Anschrift des Inverkehrbringers und des Abnehmers,</w:t>
      </w:r>
    </w:p>
    <w:p>
      <w:pPr>
        <w:ind w:left="420"/>
      </w:pPr>
      <w:r>
        <w:t xml:space="preserve">4. Angaben zur geografischen Lage der zur Versuchsdurchführung gewählten Flächen sowie</w:t>
      </w:r>
    </w:p>
    <w:p>
      <w:pPr>
        <w:ind w:left="420"/>
      </w:pPr>
      <w:r>
        <w:t xml:space="preserve">5. Menge des zum Inverkehrbringen vorgesehenen Stoffes.</w:t>
      </w:r>
    </w:p>
    <w:p>
      <w:r>
        <w:t xml:space="preserve">Die zuständige Stelle kann zum Inverkehrbringen oder zum Anwenden zum Schutz vor Schäden für die Gesundheit von Menschen und Tieren oder Gefährdungen des Naturhaushalts die erforderlichen Anordnungen treffen, insbesondere die Menge des Stoffes begrenzen, sowie das Inverkehrbringen und die Verwendung zu Versuchs- und Forschungszwecken untersagen.</w:t>
      </w:r>
    </w:p>
    <w:p>
      <w:r>
        <w:rPr>
          <w:color w:val="555555"/>
          <w:sz w:val="17"/>
        </w:rPr>
        <w:t xml:space="preserve">Zitiervorschlag: § 4 DüMV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https://recht.nulegal.eu/gesetze/D%C3%BCMV%202012/4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