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DüMV 2012 — Zulassung von Düngemitteltypen</w:t>
      </w:r>
    </w:p>
    <w:p>
      <w:r>
        <w:rPr>
          <w:color w:val="555555"/>
          <w:sz w:val="18"/>
        </w:rPr>
        <w:t xml:space="preserve">Düngemittelverordnung</w:t>
      </w:r>
    </w:p>
    <w:p>
      <w:r>
        <w:rPr>
          <w:color w:val="555555"/>
          <w:sz w:val="18"/>
        </w:rPr>
        <w:t xml:space="preserve">Stand: 17.10.2019 (konsolidierte Textfassung, kein amtliches Inkrafttretensdatum)</w:t>
      </w:r>
    </w:p>
    <w:p>
      <w:r>
        <w:t xml:space="preserve">(1) Düngemittel dürfen vorbehaltlich des § 5 Absatz 1 des Düngegesetzes nur in den Verkehr gebracht werden, wenn sie einem durch diese Verordnung zugelassenen Düngemitteltyp entsprechen. Die in Anlage 1 festgelegten Düngemitteltypen werden mit der Maßgabe zugelassen, dass</w:t>
      </w:r>
    </w:p>
    <w:p>
      <w:pPr>
        <w:ind w:left="420"/>
      </w:pPr>
      <w:r>
        <w:t xml:space="preserve">1. sie auch hinsichtlich ihrer nicht typbestimmenden Bestandteile bei sachgerechter Anwendung die Fruchtbarkeit des Bodens, die Gesundheit von Menschen, Tieren und Nutzpflanzen nicht schädigen und den Naturhaushalt nicht gefährden,</w:t>
      </w:r>
    </w:p>
    <w:p>
      <w:pPr>
        <w:ind w:left="420"/>
      </w:pPr>
      <w:r>
        <w:t xml:space="preserve">2. für die Herstellung</w:t>
      </w:r>
    </w:p>
    <w:p>
      <w:pPr>
        <w:ind w:left="780"/>
      </w:pPr>
      <w:r>
        <w:t xml:space="preserve">a) als Ausgangsstoffe nur Stoffe verwendet worden sind, die die Fruchtbarkeit des Bodens, die Gesundheit von Menschen und Tieren und Nutzpflanzen nicht schädigen und den Naturhaushalt nicht gefährden und</w:t>
      </w:r>
    </w:p>
    <w:p>
      <w:pPr>
        <w:ind w:left="1140"/>
      </w:pPr>
      <w:r>
        <w:t xml:space="preserve">aa) einen pflanzenbaulichen, produktions- oder anwendungstechnischen Nutzen haben oder</w:t>
      </w:r>
    </w:p>
    <w:p>
      <w:pPr>
        <w:ind w:left="1140"/>
      </w:pPr>
      <w:r>
        <w:t xml:space="preserve">bb) dem Bodenschutz sowie der Erhaltung und Förderung der Fruchtbarkeit des Bodens dienen.</w:t>
      </w:r>
    </w:p>
    <w:p>
      <w:pPr>
        <w:ind w:left="780"/>
      </w:pPr>
      <w:r>
        <w:t xml:space="preserve">b) mineralische Stoffe, außer Nebenbestandteile nach Anlage 2 Tabelle 8, nur nach Maßgabe der Vorgaben für Düngemitteltypen nach Anlage 1 oder der Anlage 2 Tabellen 6 und 7.3 verwendet worden sind,</w:t>
      </w:r>
    </w:p>
    <w:p>
      <w:pPr>
        <w:ind w:left="780"/>
      </w:pPr>
      <w:r>
        <w:t xml:space="preserve">c) organische Stoffe, außer Nebenbestandteile nach Anlage 2 Tabelle 8, nur nach Maßgabe der Anlage 2 Tabelle 7.1, 7.2 und 7.4 verwendet worden sind,</w:t>
      </w:r>
    </w:p>
    <w:p>
      <w:pPr>
        <w:ind w:left="780"/>
      </w:pPr>
      <w:r>
        <w:t xml:space="preserve">d) keine anderen Phosphate als die in Anlage 2 Tabelle 4 genannten verwendet worden sind,</w:t>
      </w:r>
    </w:p>
    <w:p>
      <w:pPr>
        <w:ind w:left="780"/>
      </w:pPr>
      <w:r>
        <w:t xml:space="preserve">e) Aufbereitungshilfsmittel nach Anlage 2 Tabelle 8.1 sowie Anwendungshilfsmittel nach Anlage 2 Tabelle 8.2 nur nach den dort getroffenen Maßgaben verwendet worden sind,</w:t>
      </w:r>
    </w:p>
    <w:p>
      <w:pPr>
        <w:ind w:left="780"/>
      </w:pPr>
      <w:r>
        <w:t xml:space="preserve">f) Fremdbestandteile</w:t>
      </w:r>
    </w:p>
    <w:p>
      <w:pPr>
        <w:ind w:left="1140"/>
      </w:pPr>
      <w:r>
        <w:t xml:space="preserve">aa) nur nach Maßgabe der Anlage 2 Tabelle 8.3 verwendet worden sind,</w:t>
      </w:r>
    </w:p>
    <w:p>
      <w:pPr>
        <w:ind w:left="1140"/>
      </w:pPr>
      <w:r>
        <w:t xml:space="preserve">bb) bei der Zugabe insgesamt nicht überwiegen, es sei denn, in Anlage 2 Tabelle 8.3 wird für einzelne Stoffe ein anderer Anteil zugelassen und</w:t>
      </w:r>
    </w:p>
    <w:p>
      <w:pPr>
        <w:ind w:left="1140"/>
      </w:pPr>
      <w:r>
        <w:t xml:space="preserve">cc) im Rahmen ihrer Zugabe nicht zu einer Erhöhung der Schadstoffkonzentrationen führen, soweit in begründeten Fällen keine anderen Regelungen getroffen worden sind.</w:t>
      </w:r>
    </w:p>
    <w:p>
      <w:pPr>
        <w:ind w:left="420"/>
      </w:pPr>
      <w:r>
        <w:t xml:space="preserve">3. in Düngemitteln nach Anlage 1 sowie in Ausgangsstoffen für diese Düngemittel nach Anlage 2 Tabellen 6 bis 8 die Grenzwerte nach Anlage 2 Tabelle 1.4 Spalte 4 nicht überschritten sind,</w:t>
      </w:r>
    </w:p>
    <w:p>
      <w:pPr>
        <w:ind w:left="420"/>
      </w:pPr>
      <w:r>
        <w:t xml:space="preserve">4. als Fremdbestandteil nach Anlage 2 Tabelle 8.3</w:t>
      </w:r>
    </w:p>
    <w:p>
      <w:pPr>
        <w:ind w:left="780"/>
      </w:pPr>
      <w:r>
        <w:t xml:space="preserve">a) Steine über 10 Millimeter Siebdurchgang nicht über einen Anteil von 5 vom Hundert/TM,</w:t>
      </w:r>
    </w:p>
    <w:p>
      <w:pPr>
        <w:ind w:left="780"/>
      </w:pPr>
      <w:r>
        <w:t xml:space="preserve">b) Altpapier, Karton, Glas, Metalle und plastisch nicht verformbare Kunststoffe über 1 mm Siebdurchgang nur nach Maßgabe der Anlage 2 Tabelle 8 Nummer 8.3.9 und zusammen nicht über einen Anteil von 0,4 vom Hundert/TM und</w:t>
      </w:r>
    </w:p>
    <w:p>
      <w:pPr>
        <w:ind w:left="780"/>
      </w:pPr>
      <w:r>
        <w:t xml:space="preserve">c) sonstige nicht abgebaute Kunststoffe über 1 mm Siebdurchgang nicht über einen Anteil von 0,1 vom Hundert/TM</w:t>
      </w:r>
    </w:p>
    <w:p>
      <w:pPr>
        <w:ind w:left="420"/>
      </w:pPr>
      <w:r>
        <w:t xml:space="preserve">enthalten sind.</w:t>
      </w:r>
    </w:p>
    <w:p>
      <w:r>
        <w:t xml:space="preserve">(2) Absatz 1 gilt nicht für</w:t>
      </w:r>
    </w:p>
    <w:p>
      <w:pPr>
        <w:ind w:left="420"/>
      </w:pPr>
      <w:r>
        <w:t xml:space="preserve">1. die Anforderungen an eine Nützlichkeit nach Absatz 1 Satz 2 Nummer 2 Buchstabe a Doppelbuchstabe aa und bb, im Falle von Fremdbestandteilen nach Anlage 2 Tabelle 8.3 sowie im Falle der in den Beschreibungen für Düngemitteltypen der Anlage 1 genannten sonstigen Fremdstoffe,</w:t>
      </w:r>
    </w:p>
    <w:p>
      <w:pPr>
        <w:ind w:left="420"/>
      </w:pPr>
      <w:r>
        <w:t xml:space="preserve">2. die Grenzwerte nach Anlage 2 Tabelle 1.4 Spalte 4 bis zu einer Überschreitung von 50 vom Hundert im Falle von Brennraumaschen entsprechend den Vorgaben nach Tabelle 7.3.16 aus ausschließlicher Verbrennung von unbehandeltem Holz, wenn für diese Düngemittel im Rahmen der Hinweise zur sachgerechten Anwendung auf deren ausschließliche Verwendbarkeit auf forstlichen Standorten hingewiesen wird.</w:t>
      </w:r>
    </w:p>
    <w:p>
      <w:r>
        <w:rPr>
          <w:color w:val="555555"/>
          <w:sz w:val="17"/>
        </w:rPr>
        <w:t xml:space="preserve">Zitiervorschlag: § 3 DüMV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https://recht.nulegal.eu/gesetze/D%C3%BCMV%202012/3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