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DüBV — Vorsitz, Geschäftsführung, Geschäftsordnung</w:t>
      </w:r>
    </w:p>
    <w:p>
      <w:r>
        <w:rPr>
          <w:color w:val="555555"/>
          <w:sz w:val="18"/>
        </w:rPr>
        <w:t xml:space="preserve">Düngungsbeiratsverordnung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Beirat wählt in geheimer Wahl mit der Mehrheit der Stimmen jeweils ein Mitglied in den Vorsitz und in den stellvertretenden Vorsitz.</w:t>
      </w:r>
    </w:p>
    <w:p>
      <w:r>
        <w:t xml:space="preserve">(2) Die Geschäftsführung des Beirats liegt beim Bundesministerium, das Dritte mit dieser Aufgabe beauftragen kann.</w:t>
      </w:r>
    </w:p>
    <w:p>
      <w:r>
        <w:t xml:space="preserve">(3) Die Sitzungstermine des Beirats werden im Einvernehmen mit dem Bundesministerium festgesetzt.</w:t>
      </w:r>
    </w:p>
    <w:p>
      <w:r>
        <w:t xml:space="preserve">(4) Der Beirat gibt sich eine Geschäftsordnung. Diese und deren Änderungen bedürfen der Zustimmung des Bundesministeriums.</w:t>
      </w:r>
    </w:p>
    <w:p>
      <w:r>
        <w:rPr>
          <w:color w:val="555555"/>
          <w:sz w:val="17"/>
        </w:rPr>
        <w:t xml:space="preserve">Zitiervorschlag: § 3 DüBV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