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DöKVAG — Inkrafttreten</w:t>
      </w:r>
    </w:p>
    <w:p>
      <w:r>
        <w:rPr>
          <w:color w:val="555555"/>
          <w:sz w:val="18"/>
        </w:rPr>
        <w:t xml:space="preserve">Ausführungsgesetz zum deutsch-österreichischen Konkursvertrag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mit Ausnahme des § 25 gleichzeitig mit dem Vertrag vom 25. Mai 1979 zwischen der Bundesrepublik Deutschland und der Republik Österreich auf dem Gebiet des Konkurs- und Vergleichs-(Ausgleichs-)rechts in Kraft. Der Tag dieses Inkrafttretens ist im Bundesgesetzblatt bekanntzugeben.</w:t>
      </w:r>
    </w:p>
    <w:p>
      <w:r>
        <w:t xml:space="preserve">(2) § 25 tritt am Tage nach der Verkündung in Kraft.</w:t>
      </w:r>
    </w:p>
    <w:p>
      <w:r>
        <w:rPr>
          <w:color w:val="555555"/>
          <w:sz w:val="17"/>
        </w:rPr>
        <w:t xml:space="preserve">Zitiervorschlag: § 29 DöKVAG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https://recht.nulegal.eu/gesetze/D%C3%B6KVAG/29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