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DöKVAG — Begründung des Eröffnungsbeschlusses</w:t>
      </w:r>
    </w:p>
    <w:p>
      <w:r>
        <w:rPr>
          <w:color w:val="555555"/>
          <w:sz w:val="18"/>
        </w:rPr>
        <w:t xml:space="preserve">Ausführungsgesetz zum deutsch-österreichischen Konkursvertrag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anzunehmen, daß sich Vermögen des Gemeinschuldners in Österreich befindet, sollen im Eröffnungsbeschluß die tatsächlichen Feststellungen und rechtlichen Erwägungen kurz dargestellt werden, aus denen sich eine Zuständigkeit nach Artikel 2 des Vertrags für die deutschen Gerichte ergibt.</w:t>
      </w:r>
    </w:p>
    <w:p>
      <w:r>
        <w:rPr>
          <w:color w:val="555555"/>
          <w:sz w:val="17"/>
        </w:rPr>
        <w:t xml:space="preserve">Zitiervorschlag: § 2 DöKVAG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https://recht.nulegal.eu/gesetze/D%C3%B6KVAG/2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DöKVAG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