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DöKVAG — Sofortige Beschwerde gegen die Anordnung</w:t>
      </w:r>
    </w:p>
    <w:p>
      <w:r>
        <w:rPr>
          <w:color w:val="555555"/>
          <w:sz w:val="18"/>
        </w:rPr>
        <w:t xml:space="preserve">Ausführungsgesetz zum deutsch-österreichischen Konkursvertrag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Gegen die Anordnung steht dem Schuldner die sofortige Beschwerde zu. Die sofortige Beschwerde ist auch zulässig, wenn die Zwangsmaßnahme bereits vollzogen ist. § 12 Satz 3 gilt entsprechend.</w:t>
      </w:r>
    </w:p>
    <w:p>
      <w:r>
        <w:rPr>
          <w:color w:val="555555"/>
          <w:sz w:val="17"/>
        </w:rPr>
        <w:t xml:space="preserve">Zitiervorschlag: § 13 DöKVAG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https://recht.nulegal.eu/gesetze/D%C3%B6KVAG/13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