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DÜGAufhG</w:t>
      </w:r>
    </w:p>
    <w:p>
      <w:r>
        <w:rPr>
          <w:color w:val="555555"/>
          <w:sz w:val="18"/>
        </w:rPr>
        <w:t xml:space="preserve">Gesetz zur Aufhebung des Diskontsatz-Überleitungs-Gesetzes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 DÜGAufhG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https://recht.nulegal.eu/gesetze/D%C3%9CGAufhG/1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DÜGAufhG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