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CsgG — (zu § 5 Absatz 4 Satz 3) Eignungskriterien</w:t>
      </w:r>
    </w:p>
    <w:p>
      <w:r>
        <w:rPr>
          <w:color w:val="555555"/>
          <w:sz w:val="18"/>
        </w:rPr>
        <w:t xml:space="preserve">Carsharinggesetz</w:t>
      </w:r>
    </w:p>
    <w:p>
      <w:r>
        <w:rPr>
          <w:color w:val="555555"/>
          <w:sz w:val="18"/>
        </w:rPr>
        <w:t xml:space="preserve">Stand: 10.06.2019 (konsolidierte Textfassung, kein amtliches Inkrafttretensdatum)</w:t>
      </w:r>
    </w:p>
    <w:p>
      <w:r>
        <w:t xml:space="preserve">(Fundstelle: BGBl. I 2017, 2233)</w:t>
      </w:r>
    </w:p>
    <w:p>
      <w:pPr>
        <w:ind w:left="420"/>
      </w:pPr>
      <w:r>
        <w:t xml:space="preserve">Teil 1 Allgemeine Anforderungen an das Angebot und die Fahrzeugflotte</w:t>
      </w:r>
    </w:p>
    <w:p>
      <w:pPr>
        <w:ind w:left="420"/>
      </w:pPr>
      <w:r>
        <w:t xml:space="preserve">1.1 Carsharinganbieter gewähren im Rahmen der vorhandenen Kapazität grundsätzlich jeder volljährigen Person mit einer für das entsprechende Kraftfahrzeug gültigen und vorgelegten Fahrerlaubnis diskriminierungsfrei eine Teilnahmeberechtigung. Einschränkungen hinsichtlich der Dauer des Besitzes der Fahrerlaubnis, des Mindestalters sowie einer Bonitätsprüfung sind möglich.</w:t>
      </w:r>
    </w:p>
    <w:p>
      <w:pPr>
        <w:ind w:left="420"/>
      </w:pPr>
      <w:r>
        <w:t xml:space="preserve">1.2 Carsharinganbieter bieten ihren Kunden folgenden Mindestleistungsumfang:</w:t>
      </w:r>
    </w:p>
    <w:p>
      <w:pPr>
        <w:ind w:left="420"/>
      </w:pPr>
      <w:r>
        <w:t xml:space="preserve">1.2.1 Die Fahrzeugbuchung, -abholung und -rückgabe ist an 24 Stunden täglich möglich.</w:t>
      </w:r>
    </w:p>
    <w:p>
      <w:pPr>
        <w:ind w:left="420"/>
      </w:pPr>
      <w:r>
        <w:t xml:space="preserve">1.2.2 Kurzzeitnutzungen ab einer Stunde sind möglich, der Stundentarif darf 20 Prozent des Tagespreises nicht überschreiten.</w:t>
      </w:r>
    </w:p>
    <w:p>
      <w:pPr>
        <w:ind w:left="420"/>
      </w:pPr>
      <w:r>
        <w:t xml:space="preserve">1.2.3 Die Berücksichtigung von Freikilometern ist mit Ausnahme der Wege für die Tank- und Batteriebeladung, der Fahrzeugpflege oder für Maßnahmen der Kundenbindung oder der Kundengewinnung nicht zulässig. Die Betriebsmittelkosten je Kilometer müssen über den marktüblichen Energiekosten (Kraftstoff und Strom) liegen.</w:t>
      </w:r>
    </w:p>
    <w:p>
      <w:pPr>
        <w:ind w:left="420"/>
      </w:pPr>
      <w:r>
        <w:t xml:space="preserve">1.2.4 Die Wartung der Fahrzeuge wird regelmäßig, entsprechend den Herstellerempfehlungen durchgeführt.</w:t>
      </w:r>
    </w:p>
    <w:p>
      <w:pPr>
        <w:ind w:left="420"/>
      </w:pPr>
      <w:r>
        <w:t xml:space="preserve">1.2.5 Den Kunden sollen Informationen über umweltschonende und lärmarme Fahrweise für die Fahrer und Fahrerinnen zur Verfügung gestellt werden, in dem Carsharinganbieter mittels ihrer Internetseite oder auf anderen geeigneten Informationsmaterialien auf die Möglichkeit von Schulungen zur umweltschonenden Fahrweise (etwa von Fahrschulen oder anderen Anbietern) hinweisen.</w:t>
      </w:r>
    </w:p>
    <w:p>
      <w:pPr>
        <w:ind w:left="420"/>
      </w:pPr>
      <w:r>
        <w:t xml:space="preserve">1.2.6 Inhabern von Dauer- oder Vergünstigungskarten des Öffentlichen Personenverkehrs (z. B. für Besitzer von Ermäßigungskarten oder Dauerkartenbesitzer des Öffentlichen Personennahverkehrs) sollen Vergünstigungen gewährt werden, sofern die Anbieter dieser Karten kein eigenes Carsharingangebot betreiben.</w:t>
      </w:r>
    </w:p>
    <w:p>
      <w:pPr>
        <w:ind w:left="420"/>
      </w:pPr>
      <w:r>
        <w:t xml:space="preserve">1.3 Carsharinganbieter mit Fahrzeugflotten bis zu fünf Fahrzeugen weisen mindestens zehn registrierte Fahrberechtigte pro Fahrzeug auf und solche mit einem Angebot von mehr als fünf Fahrzeugen mindestens 15 registrierte Fahrberechtigte pro Fahrzeug. Als Fahrzeugflotte gilt die Gesamtheit der Fahrzeuge des jeweiligen Anbieters in der jeweiligen Gemeinde. Davon ausgenommen sind solche Anbieter, die mit einem entsprechenden Angebot erstmalig in der jeweiligen Gemeinde tätig werden wollen.</w:t>
      </w:r>
    </w:p>
    <w:p>
      <w:pPr>
        <w:ind w:left="420"/>
      </w:pPr>
      <w:r>
        <w:t xml:space="preserve">1.4 Der Carsharinganbieter informiert im Falle der Nutzung elektrisch betriebener Fahrzeuge in geeigneter Weise (insbesondere über allgemeine Verbraucherinformationen, Internet, seine Allgemeinen Geschäftsbedingungen) – soweit verfügbar – über die Standorte der für das Carsharingfahrzeug geeigneten Ladestationen, die Art der Stromversorgung an diesen Ladestationen und die Herkunft der bezogenen Elektrizität. Dafür benennt er den Anbieter und den Stromtarif.</w:t>
      </w:r>
    </w:p>
    <w:p>
      <w:pPr>
        <w:ind w:left="420"/>
      </w:pPr>
      <w:r>
        <w:t xml:space="preserve">1.5 Soweit der Schutz geistigen Eigentums sowie von Betriebs- oder Geschäftsgeheimnissen nicht entgegenstehen, sollen zum Zwecke der Förderung der Multimodalität Daten bezüglich des Status von Carsharingfahrzeugen freigegeben werden. Personenbezogene Daten dürfen nicht freigegeben werden.</w:t>
      </w:r>
    </w:p>
    <w:p>
      <w:pPr>
        <w:ind w:left="420"/>
      </w:pPr>
      <w:r>
        <w:t xml:space="preserve">Teil 2 Nachweise</w:t>
      </w:r>
    </w:p>
    <w:p>
      <w:r>
        <w:t xml:space="preserve">Der Carsharinganbieter kann die Einhaltung der Anforderungen gemäß den Nummern 1.2.5, 1.2.6 und 1.4 durch die Vorlage der Vertragsbedingungen, Tarife (einschließlich Vergünstigungen für Besitzer von Ermäßigungskarten oder Dauerkartenbesitzer des öffentlichen Personenverkehrs) und seiner Kundeninformation (insbesondere über allgemeine Verbraucherinformationen, den Internetauftritt oder die Allgemeinen Geschäftsbedingungen) über umweltschonende und lärmarme Fahrweise und Angebote für Schulungen nachweisen.</w:t>
      </w:r>
    </w:p>
    <w:p>
      <w:pPr>
        <w:ind w:left="420"/>
      </w:pPr>
      <w:r>
        <w:t xml:space="preserve">Teil 3 Abweichungsmöglichkeit</w:t>
      </w:r>
    </w:p>
    <w:p>
      <w:r>
        <w:t xml:space="preserve">Die nach Landesrecht zuständige Behörde kann, soweit ihr Zuständigkeitsbereich nicht mehr als 50 000 Einwohner umfasst, in ihren Auswahlverfahren von einzelnen Anforderungen abweichen, wenn dies aufgrund besonderer örtlicher Umstände gerechtfertigt ist und ein Interessenbekundungsverfahren ergeben hat, dass andernfalls kein Carsharinganbieter einen Antrag stellt. Dies ist näher zu begründen.</w:t>
      </w:r>
    </w:p>
    <w:p>
      <w:r>
        <w:rPr>
          <w:color w:val="555555"/>
          <w:sz w:val="17"/>
        </w:rPr>
        <w:t xml:space="preserve">Zitiervorschlag: Anlage CsgG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https://recht.nulegal.eu/gesetze/CsgG/anlage</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