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CsgG — Inkrafttreten</w:t>
      </w:r>
    </w:p>
    <w:p>
      <w:r>
        <w:rPr>
          <w:color w:val="555555"/>
          <w:sz w:val="18"/>
        </w:rPr>
        <w:t xml:space="preserve">Carsharinggesetz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am 1. September 2017 in Kraft.</w:t>
      </w:r>
    </w:p>
    <w:p>
      <w:r>
        <w:t xml:space="preserve">(2) Soweit dieses Gesetz zum Erlass von Rechtsverordnungen befugt, tritt es am Tag nach der Verkündung in Kraft.</w:t>
      </w:r>
    </w:p>
    <w:p>
      <w:r>
        <w:rPr>
          <w:color w:val="555555"/>
          <w:sz w:val="17"/>
        </w:rPr>
        <w:t xml:space="preserve">Zitiervorschlag: § 7 CsgG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