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CsgG — Berichterstattung</w:t>
      </w:r>
    </w:p>
    <w:p>
      <w:r>
        <w:rPr>
          <w:color w:val="555555"/>
          <w:sz w:val="18"/>
        </w:rPr>
        <w:t xml:space="preserve">Carsharinggesetz</w:t>
      </w:r>
    </w:p>
    <w:p>
      <w:r>
        <w:rPr>
          <w:color w:val="555555"/>
          <w:sz w:val="18"/>
        </w:rPr>
        <w:t xml:space="preserve">Stand: 04.07.2020 (konsolidierte Textfassung, kein amtliches Inkrafttretensdatum)</w:t>
      </w:r>
    </w:p>
    <w:p>
      <w:r>
        <w:t xml:space="preserve">Das Bundesministerium für Verkehr und digitale Infrastruktur, das Bundesministerium für Wirtschaft und Energie und das Bundesministerium für Umwelt, Naturschutz und nukleare Sicherheit evaluieren gemeinsam bis zum 1. Juli 2021 dieses Gesetz.</w:t>
      </w:r>
    </w:p>
    <w:p>
      <w:r>
        <w:rPr>
          <w:color w:val="555555"/>
          <w:sz w:val="17"/>
        </w:rPr>
        <w:t xml:space="preserve">Zitiervorschlag: § 6 CsgG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https://recht.nulegal.eu/gesetze/CsgG/6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