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CsgG — Bevorrechtigungen</w:t>
      </w:r>
    </w:p>
    <w:p>
      <w:r>
        <w:rPr>
          <w:color w:val="555555"/>
          <w:sz w:val="18"/>
        </w:rPr>
        <w:t xml:space="preserve">Carsharinggesetz</w:t>
      </w:r>
    </w:p>
    <w:p>
      <w:r>
        <w:rPr>
          <w:color w:val="555555"/>
          <w:sz w:val="18"/>
        </w:rPr>
        <w:t xml:space="preserve">Stand: 30.07.2021 (konsolidierte Textfassung, kein amtliches Inkrafttretensdatum)</w:t>
      </w:r>
    </w:p>
    <w:p>
      <w:r>
        <w:t xml:space="preserve">(1) Wer ein Fahrzeug im Sinne des § 2 Nummer 1 führt, kann nach Maßgabe der folgenden Vorschriften Bevorrechtigungen bei der Teilnahme am Straßenverkehr erhalten, soweit dadurch die Sicherheit und Leichtigkeit des Verkehrs nicht beeinträchtigt werden.</w:t>
      </w:r>
    </w:p>
    <w:p>
      <w:r>
        <w:t xml:space="preserve">(2) Bevorrechtigungen sind möglich</w:t>
      </w:r>
    </w:p>
    <w:p>
      <w:pPr>
        <w:ind w:left="420"/>
      </w:pPr>
      <w:r>
        <w:t xml:space="preserve">1. für das Parken auf öffentlichen Straßen oder Wegen,</w:t>
      </w:r>
    </w:p>
    <w:p>
      <w:pPr>
        <w:ind w:left="420"/>
      </w:pPr>
      <w:r>
        <w:t xml:space="preserve">2. im Hinblick auf das Erheben von Gebühren für das Parken auf öffentlichen Straßen oder Wegen.</w:t>
      </w:r>
    </w:p>
    <w:p>
      <w:r>
        <w:t xml:space="preserve">(3) In Rechtsverordnungen nach § 6 Absatz 1, auch in Verbindung mit Absatz 3, des Straßenverkehrsgesetzes können</w:t>
      </w:r>
    </w:p>
    <w:p>
      <w:pPr>
        <w:ind w:left="420"/>
      </w:pPr>
      <w:r>
        <w:t xml:space="preserve">1. die Bevorrechtigungen näher bestimmt werden,</w:t>
      </w:r>
    </w:p>
    <w:p>
      <w:pPr>
        <w:ind w:left="420"/>
      </w:pPr>
      <w:r>
        <w:t xml:space="preserve">2. die Einzelheiten der Anforderungen an deren Inanspruchnahme festgelegt werden,</w:t>
      </w:r>
    </w:p>
    <w:p>
      <w:pPr>
        <w:ind w:left="420"/>
      </w:pPr>
      <w:r>
        <w:t xml:space="preserve">3. die erforderlichen straßenverkehrsrechtlichen Anordnungen, insbesondere Verkehrszeichen und Verkehrseinrichtungen, für stationsunabhängiges und stationsbasiertes Carsharing bestimmt werden und</w:t>
      </w:r>
    </w:p>
    <w:p>
      <w:pPr>
        <w:ind w:left="420"/>
      </w:pPr>
      <w:r>
        <w:t xml:space="preserve">4. die Einzelheiten zur Regelung des Verkehrs zu Gunsten von Fahrzeugen eines oder mehrerer bestimmter Carsharinganbieter, die ein stationsbasiertes Angebot zur Verfügung stellen, festgelegt werden, soweit der jeweilige Carsharinganbieter im Rahmen der wegerechtlichen Vorschriften zur Sondernutzung des öffentlichen Straßenraums berechtigt ist.</w:t>
      </w:r>
    </w:p>
    <w:p>
      <w:r>
        <w:t xml:space="preserve">Rechtsverordnungen mit Regelungen im Sinne des Satzes 1 erlässt das Bundesministerium für Verkehr und digitale Infrastruktur gemeinsam mit dem Bundesministerium für Wirtschaft und Energie und dem Bundesministerium für Umwelt, Naturschutz und nukleare Sicherheit. § 6 Absatz 7 des Straßenverkehrsgesetzes ist auf eine Rechtsverordnung mit Regelungen nach Satz 1 nicht anzuwenden.</w:t>
      </w:r>
    </w:p>
    <w:p>
      <w:r>
        <w:t xml:space="preserve">(4) In Rechtsverordnungen nach § 6a Absatz 6 Satz 2, auch in Verbindung mit Satz 4, des Straßenverkehrsgesetzes können als Bevorrechtigungen Ermäßigungen oder Befreiungen von der Gebührenpflicht vorgesehen werden.</w:t>
      </w:r>
    </w:p>
    <w:p>
      <w:r>
        <w:rPr>
          <w:color w:val="555555"/>
          <w:sz w:val="17"/>
        </w:rPr>
        <w:t xml:space="preserve">Zitiervorschlag: § 3 CsgG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https://recht.nulegal.eu/gesetze/CsgG/3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