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CoronaTestV — Leistungserbringung</w:t>
      </w:r>
    </w:p>
    <w:p>
      <w:r>
        <w:rPr>
          <w:color w:val="555555"/>
          <w:sz w:val="18"/>
        </w:rPr>
        <w:t xml:space="preserve">Coronavirus-Testverordnung</w:t>
      </w:r>
    </w:p>
    <w:p>
      <w:r>
        <w:rPr>
          <w:color w:val="555555"/>
          <w:sz w:val="18"/>
        </w:rPr>
        <w:t xml:space="preserve">Historische Fassung: Stand 20.10.2020 bis 03.12.2020. Dies ist nicht die aktuelle Fassung.</w:t>
      </w:r>
    </w:p>
    <w:p>
      <w:r>
        <w:t xml:space="preserve">(1) Zur Erbringung der Leistungen nach § 1 Absatz 1 sind vorbehaltlich des Absatzes 3</w:t>
      </w:r>
    </w:p>
    <w:p>
      <w:pPr>
        <w:ind w:left="420"/>
      </w:pPr>
      <w:r>
        <w:t xml:space="preserve">1. die zuständigen Stellen des öffentlichen Gesundheitsdienstes und die von ihnen betriebenen Testzentren,</w:t>
      </w:r>
    </w:p>
    <w:p>
      <w:pPr>
        <w:ind w:left="420"/>
      </w:pPr>
      <w:r>
        <w:t xml:space="preserve">2. die von den Stellen nach Nummer 1 als weitere Leistungserbringer beauftragten Dritten oder</w:t>
      </w:r>
    </w:p>
    <w:p>
      <w:pPr>
        <w:ind w:left="420"/>
      </w:pPr>
      <w:r>
        <w:t xml:space="preserve">3. die zur vertragsärztlichen Versorgung zugelassenen Leistungserbringer und die von den Kassenärztlichen Vereinigungen betriebenen Testzentren</w:t>
      </w:r>
    </w:p>
    <w:p>
      <w:r>
        <w:t xml:space="preserve">berechtigt. Der nach § 7 Absatz 7 festgelegte Vordruck ist zu verwenden.</w:t>
      </w:r>
    </w:p>
    <w:p>
      <w:r>
        <w:t xml:space="preserve">(2) Der Anspruch nach § 1 Absatz 1 Satz 1 auf Testungen durch Leistungserbringer nach Absatz 1 Satz 1 Nummer 2 und 3 besteht nur, wenn</w:t>
      </w:r>
    </w:p>
    <w:p>
      <w:pPr>
        <w:ind w:left="420"/>
      </w:pPr>
      <w:r>
        <w:t xml:space="preserve">1. bei Testungen nach § 2 gegenüber dem Leistungserbringer dargelegt wurde, dass die zu testende Person von einem behandelnden Arzt einer mit dem Coronavirus SARS-CoV-2 infizierten Person oder vom öffentlichen Gesundheitsdienst als Kontaktperson festgestellt wurde,</w:t>
      </w:r>
    </w:p>
    <w:p>
      <w:pPr>
        <w:ind w:left="420"/>
      </w:pPr>
      <w:r>
        <w:t xml:space="preserve">2. bei Testungen nach § 3 gegenüber dem Leistungserbringer dargelegt wurde, dass die zu testende Person den erforderlichen Bezug zu Einrichtungen oder Unternehmen hat, in denen von diesen Einrichtungen oder Unternehmen oder vom öffentlichen Gesundheitsdienst eine mit dem Coronavirus SARS-CoV-2 infizierte Person festgestellt wurde,</w:t>
      </w:r>
    </w:p>
    <w:p>
      <w:pPr>
        <w:ind w:left="420"/>
      </w:pPr>
      <w:r>
        <w:t xml:space="preserve">3. bei Testungen nach § 4 gegenüber dem Leistungserbringer dargelegt wurde, dass die betroffene Einrichtung, das betroffene Unternehmen oder der öffentliche Gesundheitsdienst die Testung verlangt hat.</w:t>
      </w:r>
    </w:p>
    <w:p>
      <w:r>
        <w:t xml:space="preserve">(3) Zur Erfüllung des Anspruchs nach § 4 Absatz 1 Satz 1 Nummer 2 und 3 stellen die zuständigen Stellen des öffentlichen Gesundheitsdienstes gegenüber den betroffenen Einrichtungen oder Unternehmen nach § 4 Absatz 2 Nummer 1 bis 4 auf deren Antrag fest, dass im Rahmen ihres einrichtungs- oder unternehmensbezogenen Testkonzepts monatlich bestimmte Mengen an PoC-Antigen-Tests in eigener Verantwortung beschafft und genutzt werden können. Das Testkonzept ist durch die jeweilige Einrichtung oder das jeweilige Unternehmen der zuständigen Stelle des öffentlichen Gesundheitsdienstes mit dem Antrag zu übermitteln. Die zuständigen Stellen des öffentlichen Gesundheitsdienstes legen die Menge der PoC-Antigen-Tests unter Berücksichtigung der Anzahl der Personen fest, die in oder von der jeweiligen Einrichtung oder dem jeweiligen Unternehmen behandelt, betreut, gepflegt oder untergebracht werden; dabei können je behandelter, betreuter, gepflegter oder untergebrachter Person in Einrichtungen oder Unternehmen nach § 4 Absatz 2 Nummer 1 und 2 bis zu 20 PoC-Antigen-Tests und in Einrichtungen oder Unternehmen nach § 4 Absatz 2 Nummer 3 und 4 bis zu 10 PoC-Antigen-Tests pro Monat beschafft und genutzt werden. Solange die zuständigen Stellen des öffentlichen Gesundheitsdienstes keine Feststellung nach Satz 1 getroffen haben, können die antragstellenden Einrichtungen oder Unternehmen nach Satz 1 bis zu 30 Tage nach dem Antrag PoC-Antigen-Tests nach Maßgabe der Mengen nach Satz 3 in eigener Verantwortung beschaffen und nutzen. Absatz 1 Satz 2 gilt entsprechend.</w:t>
      </w:r>
    </w:p>
    <w:p>
      <w:r>
        <w:rPr>
          <w:color w:val="555555"/>
          <w:sz w:val="17"/>
        </w:rPr>
        <w:t xml:space="preserve">Zitiervorschlag: § 6 CoronaTestV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