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CoronaTestV — Finanzierung von Testzentren</w:t>
      </w:r>
    </w:p>
    <w:p>
      <w:r>
        <w:rPr>
          <w:color w:val="555555"/>
          <w:sz w:val="18"/>
        </w:rPr>
        <w:t xml:space="preserve">Coronavirus-Testverordnung</w:t>
      </w:r>
    </w:p>
    <w:p>
      <w:r>
        <w:rPr>
          <w:color w:val="555555"/>
          <w:sz w:val="18"/>
        </w:rPr>
        <w:t xml:space="preserve">Historische Fassung: Stand 20.10.2020 bis 03.12.2020. Dies ist nicht die aktuelle Fassung.</w:t>
      </w:r>
    </w:p>
    <w:p>
      <w:r>
        <w:t xml:space="preserve">(1) Kosten für die Errichtung und den laufenden Betrieb von Testzentren werden nach den Maßgaben der Absätze 2 bis 6 erstattet. Dies gilt auch, wenn in den Zentren neben Personen mit einem Anspruch nach § 1 Absatz 1 auch Personen im Rahmen der ambulanten Krankenbehandlung getestet werden. Die Zentren sind wirtschaftlich zu betreiben, insbesondere hinsichtlich der Ausstattung mit Personal, der genutzten Räumlichkeiten sowie der Dauer des Betriebs.</w:t>
      </w:r>
    </w:p>
    <w:p>
      <w:r>
        <w:t xml:space="preserve">(2) Einnahmen aus der Vergütung von Leistungen nach dieser Verordnung, nach regionalen Vereinbarungen mit den Ländern und den zuständigen Stellen des öffentlichen Gesundheitsdienstes und nach den Vereinbarungen aufgrund der Regelungen des Fünften Buches Sozialgesetzbuch, die durch das Testzentrum erwirtschaftet werden, sind in der Rechnungslegung des jeweiligen Betreibers gesondert auszuweisen und mit den Gesamtkosten des Testzentrums aufzurechnen. Eine Aufrechnung findet nicht statt bei Vergütungen für Leistungen von selbständig in Testzentren tätigen Vertragsärzten. Alle weiteren notwendigen Kosten nach Absatz 1 Satz 1, die durch Vergütungen nach Satz 1 nicht gedeckt sind, können durch die Kassenärztliche Vereinigung und den öffentlichen Gesundheitsdienst gemäß § 14 Absatz 1 abgerechnet werden. Im Hinblick auf Testzentren, die vom öffentlichen Gesundheitsdienst oder in Kooperation mit diesem betrieben werden, ist die Abrechnung von Personalkosten des öffentlichen Gesundheitsdienstes nach § 14 Absatz 1 ausgeschlossen. Sofern die Abrechnung des öffentlichen Gesundheitsdienstes eines Landes als Gesamtbetrag über eine oberste Landesbehörde erfolgt, entfällt der Verwaltungskostenersatz nach Absatz 6. In diesem Fall leitet die jeweilige Kassenärztliche Vereinigung die Zahlung des Bundesamtes für Soziale Sicherung nach § 14 Absatz 1 Satz 3 an die oberste Landesbehörde weiter.</w:t>
      </w:r>
    </w:p>
    <w:p>
      <w:r>
        <w:t xml:space="preserve">(3) Die der Rechnungslegung zugrundeliegenden Unterlagen sind bis zum 31. Dezember 2024 unverändert zu speichern oder aufzubewahren.</w:t>
      </w:r>
    </w:p>
    <w:p>
      <w:r>
        <w:t xml:space="preserve">(4) Eine Erstattung der entstandenen Kosten für die Errichtung und den Betrieb von Testzentren nach den Absätzen 1 bis 3 ist ausgeschlossen, soweit eine Erstattung der entstandenen Kosten der Kassenärztlichen Vereinigungen nach § 105 Absatz 3 des Fünften Buches Sozialgesetzbuch durch die Krankenkassen erfolgt.</w:t>
      </w:r>
    </w:p>
    <w:p>
      <w:r>
        <w:t xml:space="preserve">(5) Die zur Abrechnung mit den Krankenkassen nach § 105 Absatz 3 des Fünften Buches Sozialgesetzbuch eingereichten Beträge und rechnungsbegründenden Unterlagen sowie die Höhe des erstatteten Betrags sind für den Zweck der Abrechnung nach dieser Verordnung bis zum 31. Dezember 2024 unverändert zu speichern oder aufzubewahren.</w:t>
      </w:r>
    </w:p>
    <w:p>
      <w:r>
        <w:t xml:space="preserve">(6) Die Kassenärztliche Vereinigung behält für ihren zusätzlichen Aufwand für den Fall, dass der öffentliche Gesundheitsdienst nicht nach Absatz 2 Satz 5 abrechnet, einen Verwaltungskostensatz in Höhe von 1,0 Prozent pro Abrechnungsgesamtbetrag ein.</w:t>
      </w:r>
    </w:p>
    <w:p>
      <w:r>
        <w:rPr>
          <w:color w:val="555555"/>
          <w:sz w:val="17"/>
        </w:rPr>
        <w:t xml:space="preserve">Zitiervorschlag: § 13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