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CoronaTestV — Anspruch</w:t>
      </w:r>
    </w:p>
    <w:p>
      <w:r>
        <w:rPr>
          <w:color w:val="555555"/>
          <w:sz w:val="18"/>
        </w:rPr>
        <w:t xml:space="preserve">Coronavirus-Testverordnung</w:t>
      </w:r>
    </w:p>
    <w:p>
      <w:r>
        <w:rPr>
          <w:color w:val="555555"/>
          <w:sz w:val="18"/>
        </w:rPr>
        <w:t xml:space="preserve">Historische Fassung: Stand 20.10.2020 bis 03.12.2020. Dies ist nicht die aktuelle Fassung.</w:t>
      </w:r>
    </w:p>
    <w:p>
      <w:r>
        <w:t xml:space="preserve">(1) Versicherte haben nach Maßgabe der §§ 2 bis 5 Anspruch auf Testung in Bezug auf einen direkten Erregernachweis des Coronavirus SARS-CoV-2. Der Anspruch nach Satz 1 umfasst das Gespräch mit der zu testenden Person im Zusammenhang mit der Testung, die Entnahme von Körpermaterial, die nach der Teststrategie des Bundesministeriums für Gesundheit empfohlene Diagnostik, die Ergebnismitteilung und die Ausstellung eines Zeugnisses über das Vorliegen oder Nichtvorliegen einer Infektion mit dem Coronavirus SARS-CoV-2. Der Anspruch nach Satz 1 in Bezug auf eine Diagnostik durch Antigen-Tests beschränkt sich auf Tests, welche die durch das Paul-Ehrlich-Institut in Abstimmung mit dem Robert Koch-Institut festgelegten Mindestkriterien für Antigen-Tests erfüllen. Das Bundesinstitut für Arzneimittel und Medizinprodukte veröffentlicht auf seiner Internetseite unter www.bfarm.de/antigentests eine Marktübersicht solcher Tests und schreibt diese fort.</w:t>
      </w:r>
    </w:p>
    <w:p>
      <w:r>
        <w:t xml:space="preserve">(2) Den Anspruch nach Absatz 1 haben auch Personen, die nicht in der gesetzlichen Krankenversicherung versichert sind.</w:t>
      </w:r>
    </w:p>
    <w:p>
      <w:r>
        <w:t xml:space="preserve">(3) Ein Anspruch nach den Absätzen 1 und 2 besteht nicht, wenn die zu testende Person bereits einen Anspruch auf die in Absatz 1 genannten Leistungen hat oder einen Anspruch auf Erstattung der Aufwendungen für entsprechende Leistungen hätte. Dies gilt insbesondere für Ansprüche auf Leistungen der ambulanten Krankenbehandlung oder der Krankenhausbehandlung. Zu den Leistungen nach Satz 2 gehört insbesondere die bestätigende Diagnostik mittels eines Nukleinsäurenachweises des Coronavirus SARS-CoV-2 (PCR-Test) nach einem positiven Antigen-Test.</w:t>
      </w:r>
    </w:p>
    <w:p>
      <w:r>
        <w:rPr>
          <w:color w:val="555555"/>
          <w:sz w:val="17"/>
        </w:rPr>
        <w:t xml:space="preserve">Zitiervorschlag: § 1 CoronaTestV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https://recht.nulegal.eu/gesetze/CoronaTestV/1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